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C8" w:rsidRDefault="007561C8" w:rsidP="003D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1C8" w:rsidRDefault="007561C8" w:rsidP="003D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1C8" w:rsidRPr="003A1B74" w:rsidRDefault="007561C8" w:rsidP="007561C8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3A1B74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РОЗМІСТИТИ </w:t>
      </w:r>
      <w:r w:rsidRPr="003A1B7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 </w:t>
      </w:r>
      <w:r w:rsidRPr="003A1B74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розділі:</w:t>
      </w:r>
    </w:p>
    <w:p w:rsidR="007561C8" w:rsidRPr="003A1B74" w:rsidRDefault="007561C8" w:rsidP="007561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A1B74">
        <w:rPr>
          <w:rFonts w:ascii="Times New Roman" w:eastAsia="Calibri" w:hAnsi="Times New Roman" w:cs="Times New Roman"/>
          <w:sz w:val="32"/>
          <w:szCs w:val="32"/>
          <w:lang w:val="uk-UA"/>
        </w:rPr>
        <w:t>Виховна робота</w:t>
      </w:r>
    </w:p>
    <w:p w:rsidR="007561C8" w:rsidRDefault="007561C8" w:rsidP="007561C8">
      <w:pPr>
        <w:numPr>
          <w:ilvl w:val="0"/>
          <w:numId w:val="4"/>
        </w:numPr>
        <w:spacing w:after="200" w:line="276" w:lineRule="auto"/>
        <w:contextualSpacing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Виховна робота –психологічна служба</w:t>
      </w:r>
    </w:p>
    <w:p w:rsidR="007561C8" w:rsidRDefault="007561C8" w:rsidP="007561C8">
      <w:pPr>
        <w:spacing w:after="0" w:line="240" w:lineRule="auto"/>
        <w:jc w:val="center"/>
        <w:rPr>
          <w:lang w:val="uk-UA"/>
        </w:rPr>
      </w:pPr>
    </w:p>
    <w:p w:rsidR="007561C8" w:rsidRDefault="007561C8" w:rsidP="0075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7561C8" w:rsidRDefault="007561C8" w:rsidP="003D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1C8" w:rsidRDefault="007561C8" w:rsidP="003D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543" w:rsidRPr="003D1553" w:rsidRDefault="00991FC9" w:rsidP="003D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553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практичного психолога у 2016/</w:t>
      </w:r>
      <w:r w:rsidR="006C2073" w:rsidRPr="006C2073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3D1553">
        <w:rPr>
          <w:rFonts w:ascii="Times New Roman" w:hAnsi="Times New Roman" w:cs="Times New Roman"/>
          <w:b/>
          <w:sz w:val="28"/>
          <w:szCs w:val="28"/>
          <w:lang w:val="uk-UA"/>
        </w:rPr>
        <w:t>17  навчальному році</w:t>
      </w:r>
    </w:p>
    <w:p w:rsidR="00991FC9" w:rsidRPr="00991FC9" w:rsidRDefault="00991FC9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91FC9" w:rsidRDefault="00991FC9" w:rsidP="003D15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553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3D1553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</w:t>
      </w:r>
      <w:r w:rsidRPr="003D155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здійснювалася  за наступними </w:t>
      </w:r>
      <w:r w:rsidRPr="003D1553">
        <w:rPr>
          <w:rFonts w:ascii="Times New Roman" w:hAnsi="Times New Roman" w:cs="Times New Roman"/>
          <w:bCs/>
          <w:sz w:val="28"/>
          <w:szCs w:val="28"/>
          <w:lang w:val="uk-UA"/>
        </w:rPr>
        <w:t>напрямками</w:t>
      </w:r>
      <w:r w:rsidRPr="00991F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00845" w:rsidRPr="00900845" w:rsidRDefault="00900845" w:rsidP="003D15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організаційно-методичний.</w:t>
      </w:r>
    </w:p>
    <w:p w:rsidR="00991FC9" w:rsidRPr="00991FC9" w:rsidRDefault="00991FC9" w:rsidP="003D15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діагностичний.</w:t>
      </w:r>
    </w:p>
    <w:p w:rsidR="00991FC9" w:rsidRPr="00991FC9" w:rsidRDefault="00991FC9" w:rsidP="003D15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корекційно-відновлювальний та розвивальний.</w:t>
      </w:r>
    </w:p>
    <w:p w:rsidR="00991FC9" w:rsidRPr="00991FC9" w:rsidRDefault="00991FC9" w:rsidP="003D15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захисний.</w:t>
      </w:r>
    </w:p>
    <w:p w:rsidR="00991FC9" w:rsidRPr="00991FC9" w:rsidRDefault="00991FC9" w:rsidP="003D15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консультативний.</w:t>
      </w:r>
    </w:p>
    <w:p w:rsidR="00991FC9" w:rsidRPr="00991FC9" w:rsidRDefault="00991FC9" w:rsidP="003D155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91FC9">
        <w:rPr>
          <w:rFonts w:ascii="Times New Roman" w:hAnsi="Times New Roman" w:cs="Times New Roman"/>
          <w:sz w:val="28"/>
          <w:szCs w:val="28"/>
          <w:lang w:val="en-US"/>
        </w:rPr>
        <w:t>зв`</w:t>
      </w:r>
      <w:proofErr w:type="gramEnd"/>
      <w:r w:rsidRPr="00991FC9">
        <w:rPr>
          <w:rFonts w:ascii="Times New Roman" w:hAnsi="Times New Roman" w:cs="Times New Roman"/>
          <w:sz w:val="28"/>
          <w:szCs w:val="28"/>
          <w:lang w:val="en-US"/>
        </w:rPr>
        <w:t>язки</w:t>
      </w:r>
      <w:proofErr w:type="spellEnd"/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громадськістю.</w:t>
      </w:r>
    </w:p>
    <w:p w:rsidR="00991FC9" w:rsidRPr="00991FC9" w:rsidRDefault="00991FC9" w:rsidP="003D15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FC9" w:rsidRPr="00991FC9" w:rsidRDefault="00991FC9" w:rsidP="003D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Організаційно-методичний напрямок</w:t>
      </w:r>
    </w:p>
    <w:p w:rsidR="00991FC9" w:rsidRPr="00991FC9" w:rsidRDefault="00991FC9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навчального  року була проведена паспортизація ліцею. </w:t>
      </w:r>
    </w:p>
    <w:p w:rsidR="00991FC9" w:rsidRPr="00991FC9" w:rsidRDefault="00991FC9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Вивчені особові справи  та психологічні характеристики  учнів-сиріт І курсу, дані занесені до журналу  реєстрації сиріт, видані єдині квитки.</w:t>
      </w:r>
    </w:p>
    <w:p w:rsidR="00991FC9" w:rsidRPr="00991FC9" w:rsidRDefault="00991FC9" w:rsidP="003D155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Разом із соціальним паспортом групи класні керівники та майстри заповнювали індивідуальні картки учнів, куди протягом року заносяться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про 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зміни та особливості навчання учня, його досягнення, примітки щодо порушень або покращення поведінки. </w:t>
      </w:r>
    </w:p>
    <w:p w:rsidR="00991FC9" w:rsidRPr="00991FC9" w:rsidRDefault="00991FC9" w:rsidP="003D155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До індивідуальних карток заноситься інформація, якщо учень стоїть на </w:t>
      </w:r>
      <w:proofErr w:type="spellStart"/>
      <w:r w:rsidRPr="00991FC9">
        <w:rPr>
          <w:rFonts w:ascii="Times New Roman" w:hAnsi="Times New Roman" w:cs="Times New Roman"/>
          <w:sz w:val="28"/>
          <w:szCs w:val="28"/>
          <w:lang w:val="uk-UA"/>
        </w:rPr>
        <w:t>внутрішньоліцейному</w:t>
      </w:r>
      <w:proofErr w:type="spellEnd"/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або картковому обліку, або скоєння злочину.</w:t>
      </w:r>
    </w:p>
    <w:p w:rsidR="003D1553" w:rsidRDefault="003D1553" w:rsidP="003D15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1FC9" w:rsidRPr="00991FC9" w:rsidRDefault="00991FC9" w:rsidP="003D15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Діагностичн</w:t>
      </w:r>
      <w:r w:rsidR="00900845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 напрямок</w:t>
      </w:r>
    </w:p>
    <w:p w:rsidR="00991FC9" w:rsidRPr="00991FC9" w:rsidRDefault="00991FC9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Для визначення  особистісних особливостей учнівського та педагогічного колективів,  групових відносин, виявлення психічних станів, сформованості знань, умінь, навичок та здібностей учнів, виходячи з актуальних потреб ліцею, проводилися відповідні методики.</w:t>
      </w:r>
    </w:p>
    <w:p w:rsidR="00991FC9" w:rsidRPr="004E076E" w:rsidRDefault="00991FC9" w:rsidP="003D15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88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2044"/>
        <w:gridCol w:w="1817"/>
        <w:gridCol w:w="4645"/>
      </w:tblGrid>
      <w:tr w:rsidR="00991FC9" w:rsidRPr="004E076E" w:rsidTr="00A4516D">
        <w:trPr>
          <w:trHeight w:val="273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 xml:space="preserve">Тема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 xml:space="preserve">Мета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 xml:space="preserve">Цільова група 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 xml:space="preserve">Представлення 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>результатів</w:t>
            </w:r>
          </w:p>
        </w:tc>
      </w:tr>
      <w:tr w:rsidR="00991FC9" w:rsidRPr="004E076E" w:rsidTr="00A4516D">
        <w:trPr>
          <w:trHeight w:val="17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 xml:space="preserve">Проективна методика </w:t>
            </w:r>
          </w:p>
          <w:p w:rsidR="00991FC9" w:rsidRPr="004E076E" w:rsidRDefault="00991FC9" w:rsidP="003D1553">
            <w:pPr>
              <w:pStyle w:val="a3"/>
              <w:rPr>
                <w:lang w:val="uk-UA"/>
              </w:rPr>
            </w:pPr>
            <w:r w:rsidRPr="004E076E">
              <w:rPr>
                <w:lang w:val="uk-UA"/>
              </w:rPr>
              <w:t>“Неіснуюча тварина”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Дослідження особистості учня в цілому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Учні усіх груп</w:t>
            </w:r>
          </w:p>
        </w:tc>
        <w:tc>
          <w:tcPr>
            <w:tcW w:w="4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В малюнках учнів простежується вербальна агресія, егоцентризм, потреба в позитивній оцінці оточуючих.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>Тривожність.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>Імпульсивність</w:t>
            </w:r>
          </w:p>
        </w:tc>
      </w:tr>
      <w:tr w:rsidR="00991FC9" w:rsidRPr="004E076E" w:rsidTr="00A4516D">
        <w:trPr>
          <w:trHeight w:val="560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Опитувальник “</w:t>
            </w:r>
            <w:proofErr w:type="spellStart"/>
            <w:r w:rsidRPr="004E076E">
              <w:rPr>
                <w:lang w:val="uk-UA"/>
              </w:rPr>
              <w:t>Басса</w:t>
            </w:r>
            <w:proofErr w:type="spellEnd"/>
            <w:r w:rsidRPr="004E076E">
              <w:rPr>
                <w:lang w:val="uk-UA"/>
              </w:rPr>
              <w:t xml:space="preserve"> - </w:t>
            </w:r>
            <w:proofErr w:type="spellStart"/>
            <w:r w:rsidRPr="004E076E">
              <w:rPr>
                <w:lang w:val="uk-UA"/>
              </w:rPr>
              <w:t>Дарки</w:t>
            </w:r>
            <w:proofErr w:type="spellEnd"/>
            <w:r w:rsidRPr="004E076E">
              <w:rPr>
                <w:lang w:val="uk-UA"/>
              </w:rPr>
              <w:t>”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 xml:space="preserve">Діагностика стану агресії 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Учні 1 курсу</w:t>
            </w:r>
          </w:p>
        </w:tc>
        <w:tc>
          <w:tcPr>
            <w:tcW w:w="4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Переважає вербальна  та непряма агресія, підозрілість.</w:t>
            </w:r>
          </w:p>
        </w:tc>
      </w:tr>
      <w:tr w:rsidR="00991FC9" w:rsidRPr="006C2073" w:rsidTr="00A4516D">
        <w:trPr>
          <w:trHeight w:val="1394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lastRenderedPageBreak/>
              <w:t>Дослідження ціннісні орієнтації методика Андрієвої</w:t>
            </w: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Дослідження ціннісних орієнтацій учнів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Учні ліцею</w:t>
            </w:r>
          </w:p>
        </w:tc>
        <w:tc>
          <w:tcPr>
            <w:tcW w:w="4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>Учні ліцею надають перевагу таким цінностям як особисті (популярність і визнання,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 xml:space="preserve">лідерство), соціальні (соціальна </w:t>
            </w:r>
            <w:proofErr w:type="spellStart"/>
            <w:r w:rsidRPr="004E076E">
              <w:rPr>
                <w:lang w:val="uk-UA"/>
              </w:rPr>
              <w:t>справедлівість</w:t>
            </w:r>
            <w:proofErr w:type="spellEnd"/>
            <w:r w:rsidRPr="004E076E">
              <w:rPr>
                <w:lang w:val="uk-UA"/>
              </w:rPr>
              <w:t>), та загальні (здатність до розуміння другої людини).</w:t>
            </w:r>
          </w:p>
        </w:tc>
      </w:tr>
      <w:tr w:rsidR="00991FC9" w:rsidRPr="004E076E" w:rsidTr="00A4516D">
        <w:trPr>
          <w:trHeight w:val="1988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 xml:space="preserve">Дослідження акцентуації характеру за допомогою методики Леонгард </w:t>
            </w:r>
            <w:proofErr w:type="spellStart"/>
            <w:r w:rsidRPr="004E076E">
              <w:rPr>
                <w:lang w:val="uk-UA"/>
              </w:rPr>
              <w:t>Шмішек</w:t>
            </w:r>
            <w:proofErr w:type="spellEnd"/>
            <w:r w:rsidRPr="004E076E">
              <w:rPr>
                <w:lang w:val="uk-UA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 xml:space="preserve">Діагностика типу та акцентуації характеру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>Учні 1 курсу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 xml:space="preserve">27% - учнів мають </w:t>
            </w:r>
            <w:proofErr w:type="spellStart"/>
            <w:r w:rsidRPr="004E076E">
              <w:rPr>
                <w:lang w:val="uk-UA"/>
              </w:rPr>
              <w:t>гіпертимний</w:t>
            </w:r>
            <w:proofErr w:type="spellEnd"/>
            <w:r w:rsidRPr="004E076E">
              <w:rPr>
                <w:lang w:val="uk-UA"/>
              </w:rPr>
              <w:t xml:space="preserve"> тип,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3.5 % - учнів мають екзальтований тип,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5.4</w:t>
            </w:r>
            <w:r>
              <w:rPr>
                <w:lang w:val="uk-UA"/>
              </w:rPr>
              <w:t xml:space="preserve"> % - </w:t>
            </w:r>
            <w:r w:rsidRPr="004E076E">
              <w:rPr>
                <w:lang w:val="uk-UA"/>
              </w:rPr>
              <w:t xml:space="preserve"> мають </w:t>
            </w:r>
            <w:proofErr w:type="spellStart"/>
            <w:r w:rsidRPr="004E076E">
              <w:rPr>
                <w:lang w:val="uk-UA"/>
              </w:rPr>
              <w:t>циклотимічний</w:t>
            </w:r>
            <w:proofErr w:type="spellEnd"/>
            <w:r w:rsidRPr="004E076E">
              <w:rPr>
                <w:lang w:val="uk-UA"/>
              </w:rPr>
              <w:t xml:space="preserve"> тип,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16.2</w:t>
            </w:r>
            <w:r>
              <w:rPr>
                <w:lang w:val="uk-UA"/>
              </w:rPr>
              <w:t xml:space="preserve"> % - </w:t>
            </w:r>
            <w:r w:rsidRPr="004E076E">
              <w:rPr>
                <w:lang w:val="uk-UA"/>
              </w:rPr>
              <w:t xml:space="preserve"> мають неврівноважений тип,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10.8 % - учнів мають педантичний тип,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5.4 % - </w:t>
            </w:r>
            <w:r w:rsidRPr="004E076E">
              <w:rPr>
                <w:lang w:val="uk-UA"/>
              </w:rPr>
              <w:t xml:space="preserve"> мають демонстративний тип,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2.7 % - учнів мають емотивний тип.</w:t>
            </w:r>
          </w:p>
        </w:tc>
      </w:tr>
      <w:tr w:rsidR="00991FC9" w:rsidRPr="004E076E" w:rsidTr="00321567">
        <w:trPr>
          <w:trHeight w:val="1914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Анкетування за опитувальником «Школа сприяння здоров’ю.»</w:t>
            </w:r>
          </w:p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</w:p>
          <w:p w:rsidR="00991FC9" w:rsidRPr="004E076E" w:rsidRDefault="00991FC9" w:rsidP="00321567">
            <w:pPr>
              <w:pStyle w:val="a3"/>
              <w:snapToGrid w:val="0"/>
              <w:rPr>
                <w:lang w:val="uk-UA"/>
              </w:rPr>
            </w:pPr>
          </w:p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Учні 1 курсу</w:t>
            </w:r>
            <w:r w:rsidRPr="004E076E">
              <w:t>:</w:t>
            </w:r>
            <w:r w:rsidRPr="004E076E">
              <w:rPr>
                <w:lang w:val="uk-UA"/>
              </w:rPr>
              <w:t xml:space="preserve"> 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-15 років -2 уч.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-16 років-12 уч.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-17 років-6 уч.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-18 років-2 уч.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1FC9" w:rsidRPr="004E076E" w:rsidRDefault="00991FC9" w:rsidP="003D1553">
            <w:pPr>
              <w:pStyle w:val="a3"/>
              <w:snapToGrid w:val="0"/>
              <w:ind w:firstLine="567"/>
              <w:rPr>
                <w:lang w:val="uk-UA"/>
              </w:rPr>
            </w:pPr>
            <w:r w:rsidRPr="004E076E">
              <w:rPr>
                <w:lang w:val="uk-UA"/>
              </w:rPr>
              <w:t>Успішність навчання</w:t>
            </w:r>
            <w:r w:rsidRPr="004E076E">
              <w:t>: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Ставлення до шкідливих звичок</w:t>
            </w:r>
            <w:r w:rsidRPr="004E076E">
              <w:t>: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Основні причини чому палять</w:t>
            </w:r>
            <w:r w:rsidRPr="004E076E">
              <w:t>:</w:t>
            </w:r>
            <w:r w:rsidRPr="004E076E">
              <w:rPr>
                <w:lang w:val="uk-UA"/>
              </w:rPr>
              <w:t xml:space="preserve"> 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1.для самовпевненості,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>відчуття дорослості.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2. «За компанію» з друзями,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>для авторитету.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 w:rsidRPr="004E076E">
              <w:rPr>
                <w:lang w:val="uk-UA"/>
              </w:rPr>
              <w:t>3. «Від нічого робити»,</w:t>
            </w:r>
            <w:r>
              <w:rPr>
                <w:lang w:val="uk-UA"/>
              </w:rPr>
              <w:t xml:space="preserve"> </w:t>
            </w:r>
            <w:r w:rsidRPr="004E076E">
              <w:rPr>
                <w:lang w:val="uk-UA"/>
              </w:rPr>
              <w:t>просто так.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Перша спроба палі</w:t>
            </w:r>
            <w:r w:rsidRPr="004E076E">
              <w:rPr>
                <w:lang w:val="uk-UA"/>
              </w:rPr>
              <w:t xml:space="preserve">ння у учнів </w:t>
            </w:r>
          </w:p>
        </w:tc>
      </w:tr>
      <w:tr w:rsidR="00991FC9" w:rsidRPr="004E076E" w:rsidTr="00A4516D">
        <w:trPr>
          <w:trHeight w:val="730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Опитувальник 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«Рівень </w:t>
            </w:r>
            <w:proofErr w:type="spellStart"/>
            <w:r>
              <w:rPr>
                <w:lang w:val="uk-UA"/>
              </w:rPr>
              <w:t>суїцидальності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Схильність до </w:t>
            </w:r>
            <w:proofErr w:type="spellStart"/>
            <w:r>
              <w:rPr>
                <w:lang w:val="uk-UA"/>
              </w:rPr>
              <w:t>суїцидальної</w:t>
            </w:r>
            <w:proofErr w:type="spellEnd"/>
            <w:r>
              <w:rPr>
                <w:lang w:val="uk-UA"/>
              </w:rPr>
              <w:t xml:space="preserve"> поведінки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Учні І курсу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1FC9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Учнів з </w:t>
            </w:r>
            <w:proofErr w:type="spellStart"/>
            <w:r>
              <w:rPr>
                <w:lang w:val="uk-UA"/>
              </w:rPr>
              <w:t>суїцидальними</w:t>
            </w:r>
            <w:proofErr w:type="spellEnd"/>
            <w:r>
              <w:rPr>
                <w:lang w:val="uk-UA"/>
              </w:rPr>
              <w:t xml:space="preserve"> думками та схильних до </w:t>
            </w:r>
            <w:proofErr w:type="spellStart"/>
            <w:r>
              <w:rPr>
                <w:lang w:val="uk-UA"/>
              </w:rPr>
              <w:t>самопошкодження</w:t>
            </w:r>
            <w:proofErr w:type="spellEnd"/>
            <w:r>
              <w:rPr>
                <w:lang w:val="uk-UA"/>
              </w:rPr>
              <w:t xml:space="preserve"> не виявлено</w:t>
            </w:r>
          </w:p>
          <w:p w:rsidR="00321567" w:rsidRPr="004E076E" w:rsidRDefault="00321567" w:rsidP="003D1553">
            <w:pPr>
              <w:pStyle w:val="a3"/>
              <w:snapToGrid w:val="0"/>
              <w:rPr>
                <w:lang w:val="uk-UA"/>
              </w:rPr>
            </w:pPr>
          </w:p>
        </w:tc>
      </w:tr>
      <w:tr w:rsidR="00991FC9" w:rsidRPr="004E076E" w:rsidTr="00A4516D">
        <w:trPr>
          <w:trHeight w:val="1038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Проективна методика «Малюнок родини»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Діагностика внутрішньо-сімейних стосунків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Учні І та ІІ курсу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1FC9" w:rsidRDefault="00991FC9" w:rsidP="003D1553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Хочва</w:t>
            </w:r>
            <w:proofErr w:type="spellEnd"/>
            <w:r>
              <w:rPr>
                <w:lang w:val="uk-UA"/>
              </w:rPr>
              <w:t xml:space="preserve"> багато учнів проживають у неповних </w:t>
            </w:r>
            <w:proofErr w:type="spellStart"/>
            <w:r>
              <w:rPr>
                <w:lang w:val="uk-UA"/>
              </w:rPr>
              <w:t>сімях</w:t>
            </w:r>
            <w:proofErr w:type="spellEnd"/>
            <w:r>
              <w:rPr>
                <w:lang w:val="uk-UA"/>
              </w:rPr>
              <w:t>, у малюнках простежуються теплі та доброзичливі  взаємовідносини у родинах.</w:t>
            </w:r>
          </w:p>
          <w:p w:rsidR="00991FC9" w:rsidRPr="004E076E" w:rsidRDefault="00991FC9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Учні з повагою ставляться родичів</w:t>
            </w:r>
          </w:p>
        </w:tc>
      </w:tr>
      <w:tr w:rsidR="00900845" w:rsidRPr="006C2073" w:rsidTr="00321567">
        <w:trPr>
          <w:trHeight w:val="796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Pr="004E076E" w:rsidRDefault="00900845" w:rsidP="00321567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Діагностика </w:t>
            </w:r>
            <w:r w:rsidR="00321567">
              <w:rPr>
                <w:lang w:val="uk-UA"/>
              </w:rPr>
              <w:t xml:space="preserve">схильності учнів до конфліктів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Pr="004E076E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Схильність учнів до конфліктних ситуацій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Pr="004E076E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Учні ІІ курсу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845" w:rsidRPr="004E076E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Більшість учнів готові піти на компроміс або усунутися від конфлікту заради досягнення спільної мети. </w:t>
            </w:r>
          </w:p>
        </w:tc>
      </w:tr>
      <w:tr w:rsidR="00900845" w:rsidRPr="006C2073" w:rsidTr="00A4516D">
        <w:trPr>
          <w:trHeight w:val="46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Проективна методика «Кактус»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Default="003D1553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Виявлення схильності до агресії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Учні І курсу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845" w:rsidRPr="00A4516D" w:rsidRDefault="00A4516D" w:rsidP="00A4516D">
            <w:pPr>
              <w:pStyle w:val="a3"/>
              <w:snapToGrid w:val="0"/>
              <w:rPr>
                <w:color w:val="000000" w:themeColor="text1"/>
                <w:lang w:val="uk-UA"/>
              </w:rPr>
            </w:pPr>
            <w:r w:rsidRPr="00A4516D">
              <w:rPr>
                <w:color w:val="000000" w:themeColor="text1"/>
                <w:shd w:val="clear" w:color="auto" w:fill="FFFFFF"/>
                <w:lang w:val="uk-UA"/>
              </w:rPr>
              <w:t>демонстративність, відкритість, більше 50 % виражена агресивність, тривожність, до 50% виражені егоцентризм (прагнення до лідерства), прагнення до домашньої захисту (почуття сімейної спільності), імпульсивність, до 20% виражена оптимізм і жіночність, ну а до 10% невпевненість у собі і прихованість, обережність.</w:t>
            </w:r>
          </w:p>
        </w:tc>
      </w:tr>
      <w:tr w:rsidR="00900845" w:rsidRPr="00C00B15" w:rsidTr="00A4516D">
        <w:trPr>
          <w:trHeight w:val="450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Мої уподобання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Default="00900845" w:rsidP="003D1553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0845" w:rsidRDefault="00900845" w:rsidP="003D1553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Учні ліцею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845" w:rsidRDefault="00900845" w:rsidP="003D1553">
            <w:pPr>
              <w:pStyle w:val="a3"/>
              <w:snapToGrid w:val="0"/>
              <w:rPr>
                <w:lang w:val="uk-UA"/>
              </w:rPr>
            </w:pPr>
          </w:p>
        </w:tc>
      </w:tr>
    </w:tbl>
    <w:p w:rsidR="00991FC9" w:rsidRPr="004E076E" w:rsidRDefault="00991FC9" w:rsidP="003D15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991FC9" w:rsidRPr="00140DF5" w:rsidRDefault="00991FC9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40DF5" w:rsidRDefault="00140DF5" w:rsidP="003D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Нижче наведені деякі результати досліджень, проведених у ліцеї протягом </w:t>
      </w:r>
      <w:r w:rsidR="003D15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року</w:t>
      </w:r>
    </w:p>
    <w:p w:rsidR="00A4516D" w:rsidRPr="00140DF5" w:rsidRDefault="00A4516D" w:rsidP="003D15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Методика </w:t>
      </w:r>
      <w:proofErr w:type="spellStart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Басса-Дарк</w:t>
      </w:r>
      <w:r w:rsidR="00A4516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End"/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21526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50BF" w:rsidRDefault="003B50BF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У дослідженні приймали участь учні I курсу.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52 хлопців та 31 дівчини.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У хлопців переважає верб</w:t>
      </w:r>
      <w:r w:rsidR="00A4516D">
        <w:rPr>
          <w:rFonts w:ascii="Times New Roman" w:hAnsi="Times New Roman" w:cs="Times New Roman"/>
          <w:bCs/>
          <w:sz w:val="28"/>
          <w:szCs w:val="28"/>
          <w:lang w:val="uk-UA"/>
        </w:rPr>
        <w:t>альна агресія</w:t>
      </w:r>
      <w:r w:rsidR="00321567">
        <w:rPr>
          <w:rFonts w:ascii="Times New Roman" w:hAnsi="Times New Roman" w:cs="Times New Roman"/>
          <w:bCs/>
          <w:sz w:val="28"/>
          <w:szCs w:val="28"/>
          <w:lang w:val="uk-UA"/>
        </w:rPr>
        <w:t>, почуття провини та ро</w:t>
      </w:r>
      <w:r w:rsidR="00A4516D">
        <w:rPr>
          <w:rFonts w:ascii="Times New Roman" w:hAnsi="Times New Roman" w:cs="Times New Roman"/>
          <w:bCs/>
          <w:sz w:val="28"/>
          <w:szCs w:val="28"/>
          <w:lang w:val="uk-UA"/>
        </w:rPr>
        <w:t>здратування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, у дівчат вербальна агресія та роздратування.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Примітка 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FA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фізична агресія,      </w:t>
      </w:r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RAS</w:t>
      </w:r>
      <w:proofErr w:type="spellStart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-родратованість</w:t>
      </w:r>
      <w:proofErr w:type="spellEnd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,      POD-</w:t>
      </w:r>
      <w:proofErr w:type="spellStart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підозрюваність</w:t>
      </w:r>
      <w:proofErr w:type="spellEnd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140DF5" w:rsidRPr="00140DF5" w:rsidRDefault="00140DF5" w:rsidP="003D1553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KA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A45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="00A451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непряма 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агресія</w:t>
      </w:r>
      <w:proofErr w:type="gramEnd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   </w:t>
      </w:r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NEG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-негативізм,             </w:t>
      </w:r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-вербальна агресія,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</w:t>
      </w:r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OB</w:t>
      </w:r>
      <w:proofErr w:type="spellStart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-образа</w:t>
      </w:r>
      <w:proofErr w:type="spellEnd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40DF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140D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</w:t>
      </w:r>
      <w:proofErr w:type="spellStart"/>
      <w:r w:rsidRPr="00140DF5">
        <w:rPr>
          <w:rFonts w:ascii="Times New Roman" w:hAnsi="Times New Roman" w:cs="Times New Roman"/>
          <w:bCs/>
          <w:sz w:val="28"/>
          <w:szCs w:val="28"/>
          <w:lang w:val="en-US"/>
        </w:rPr>
        <w:t>ChV</w:t>
      </w:r>
      <w:proofErr w:type="spellEnd"/>
      <w:r w:rsidRPr="00140DF5">
        <w:rPr>
          <w:rFonts w:ascii="Times New Roman" w:hAnsi="Times New Roman" w:cs="Times New Roman"/>
          <w:bCs/>
          <w:sz w:val="28"/>
          <w:szCs w:val="28"/>
        </w:rPr>
        <w:t>-</w:t>
      </w: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відчуття провини.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0DF5" w:rsidRPr="00140DF5" w:rsidRDefault="00140DF5" w:rsidP="003D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Соціальний </w:t>
      </w:r>
      <w:proofErr w:type="spellStart"/>
      <w:r w:rsidRPr="00140D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опросник</w:t>
      </w:r>
      <w:proofErr w:type="spellEnd"/>
      <w:r w:rsidRPr="00140DF5">
        <w:rPr>
          <w:rFonts w:ascii="Times New Roman" w:hAnsi="Times New Roman" w:cs="Times New Roman"/>
          <w:b/>
          <w:bCs/>
          <w:sz w:val="28"/>
          <w:szCs w:val="28"/>
          <w:lang w:val="uk-UA"/>
        </w:rPr>
        <w:t>, «Як я обрав цей ліцей».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</w:t>
      </w:r>
      <w:proofErr w:type="spellStart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>опитанно</w:t>
      </w:r>
      <w:proofErr w:type="spellEnd"/>
      <w:r w:rsidRPr="00140D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62 учня.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З них  дізнаються в школі 29 учня, від друзів 9 учнів, від батьків 9 учнів, інтернет 7 учнів, об’ява 3 учня, та інше 5 учнів.</w:t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57825" cy="2019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0DF5" w:rsidRDefault="00140DF5" w:rsidP="003D15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0845" w:rsidRPr="00313B6F" w:rsidRDefault="00900845" w:rsidP="003D15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3B6F">
        <w:rPr>
          <w:rFonts w:ascii="Times New Roman" w:hAnsi="Times New Roman" w:cs="Times New Roman"/>
          <w:b/>
          <w:sz w:val="32"/>
          <w:szCs w:val="32"/>
          <w:lang w:val="uk-UA"/>
        </w:rPr>
        <w:t>Мої уподобання</w:t>
      </w:r>
    </w:p>
    <w:tbl>
      <w:tblPr>
        <w:tblStyle w:val="a5"/>
        <w:tblW w:w="11057" w:type="dxa"/>
        <w:tblInd w:w="-572" w:type="dxa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013"/>
        <w:gridCol w:w="3402"/>
      </w:tblGrid>
      <w:tr w:rsidR="00900845" w:rsidTr="0013441C">
        <w:tc>
          <w:tcPr>
            <w:tcW w:w="1814" w:type="dxa"/>
          </w:tcPr>
          <w:p w:rsidR="00900845" w:rsidRPr="00C3730C" w:rsidRDefault="00900845" w:rsidP="003D1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3730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Музика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900845" w:rsidRPr="00C3730C" w:rsidRDefault="00900845" w:rsidP="003D1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3730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Фільми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0845" w:rsidRPr="00C3730C" w:rsidRDefault="00900845" w:rsidP="003D1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C3730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Комп</w:t>
            </w:r>
            <w:proofErr w:type="spellEnd"/>
            <w:r w:rsidRPr="00C3730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 ігри</w:t>
            </w:r>
          </w:p>
        </w:tc>
        <w:tc>
          <w:tcPr>
            <w:tcW w:w="2013" w:type="dxa"/>
          </w:tcPr>
          <w:p w:rsidR="00900845" w:rsidRPr="00C3730C" w:rsidRDefault="00900845" w:rsidP="003D1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3730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900845" w:rsidRPr="00C3730C" w:rsidRDefault="00900845" w:rsidP="003D1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3730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Вільний час</w:t>
            </w:r>
          </w:p>
        </w:tc>
      </w:tr>
      <w:tr w:rsidR="00900845" w:rsidRPr="00817914" w:rsidTr="0013441C">
        <w:tc>
          <w:tcPr>
            <w:tcW w:w="1814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65</w:t>
            </w:r>
          </w:p>
        </w:tc>
        <w:tc>
          <w:tcPr>
            <w:tcW w:w="1985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57</w:t>
            </w:r>
          </w:p>
        </w:tc>
        <w:tc>
          <w:tcPr>
            <w:tcW w:w="184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Екшн</w:t>
            </w:r>
            <w:proofErr w:type="spellEnd"/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75</w:t>
            </w:r>
          </w:p>
        </w:tc>
        <w:tc>
          <w:tcPr>
            <w:tcW w:w="201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18</w:t>
            </w:r>
          </w:p>
        </w:tc>
        <w:tc>
          <w:tcPr>
            <w:tcW w:w="3402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 мережі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125</w:t>
            </w:r>
          </w:p>
        </w:tc>
      </w:tr>
      <w:tr w:rsidR="00900845" w:rsidRPr="00817914" w:rsidTr="0013441C">
        <w:tc>
          <w:tcPr>
            <w:tcW w:w="1814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49</w:t>
            </w:r>
          </w:p>
        </w:tc>
        <w:tc>
          <w:tcPr>
            <w:tcW w:w="1985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95</w:t>
            </w:r>
          </w:p>
        </w:tc>
        <w:tc>
          <w:tcPr>
            <w:tcW w:w="184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Аркада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77</w:t>
            </w:r>
          </w:p>
        </w:tc>
        <w:tc>
          <w:tcPr>
            <w:tcW w:w="201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23</w:t>
            </w:r>
          </w:p>
        </w:tc>
        <w:tc>
          <w:tcPr>
            <w:tcW w:w="3402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</w:t>
            </w:r>
          </w:p>
        </w:tc>
      </w:tr>
      <w:tr w:rsidR="00900845" w:rsidRPr="00817914" w:rsidTr="0013441C">
        <w:tc>
          <w:tcPr>
            <w:tcW w:w="1814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Класика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12</w:t>
            </w:r>
          </w:p>
        </w:tc>
        <w:tc>
          <w:tcPr>
            <w:tcW w:w="1985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Детективи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74</w:t>
            </w:r>
          </w:p>
        </w:tc>
        <w:tc>
          <w:tcPr>
            <w:tcW w:w="184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Симулятор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63</w:t>
            </w:r>
          </w:p>
        </w:tc>
        <w:tc>
          <w:tcPr>
            <w:tcW w:w="201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Детективи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34</w:t>
            </w:r>
          </w:p>
        </w:tc>
        <w:tc>
          <w:tcPr>
            <w:tcW w:w="3402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Клуби, дискотеки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900845" w:rsidRPr="00817914" w:rsidTr="0013441C">
        <w:trPr>
          <w:trHeight w:val="184"/>
        </w:trPr>
        <w:tc>
          <w:tcPr>
            <w:tcW w:w="1814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58</w:t>
            </w:r>
          </w:p>
        </w:tc>
        <w:tc>
          <w:tcPr>
            <w:tcW w:w="1985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Драми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18</w:t>
            </w:r>
          </w:p>
        </w:tc>
        <w:tc>
          <w:tcPr>
            <w:tcW w:w="184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54</w:t>
            </w:r>
          </w:p>
        </w:tc>
        <w:tc>
          <w:tcPr>
            <w:tcW w:w="201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Лірика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3402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Прогулянки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парком       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       </w:t>
            </w:r>
          </w:p>
        </w:tc>
      </w:tr>
      <w:tr w:rsidR="00900845" w:rsidRPr="00817914" w:rsidTr="0013441C">
        <w:trPr>
          <w:trHeight w:val="169"/>
        </w:trPr>
        <w:tc>
          <w:tcPr>
            <w:tcW w:w="1814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19</w:t>
            </w:r>
          </w:p>
        </w:tc>
        <w:tc>
          <w:tcPr>
            <w:tcW w:w="1985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Фантастика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76</w:t>
            </w:r>
          </w:p>
        </w:tc>
        <w:tc>
          <w:tcPr>
            <w:tcW w:w="184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Квести</w:t>
            </w:r>
            <w:proofErr w:type="spellEnd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76</w:t>
            </w:r>
          </w:p>
        </w:tc>
        <w:tc>
          <w:tcPr>
            <w:tcW w:w="201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Фантастика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 </w:t>
            </w:r>
          </w:p>
        </w:tc>
        <w:tc>
          <w:tcPr>
            <w:tcW w:w="3402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друзями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7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0845" w:rsidRPr="00817914" w:rsidTr="0013441C">
        <w:trPr>
          <w:trHeight w:val="230"/>
        </w:trPr>
        <w:tc>
          <w:tcPr>
            <w:tcW w:w="1814" w:type="dxa"/>
          </w:tcPr>
          <w:p w:rsidR="00900845" w:rsidRPr="00817914" w:rsidRDefault="00817914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900845"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14</w:t>
            </w:r>
          </w:p>
        </w:tc>
        <w:tc>
          <w:tcPr>
            <w:tcW w:w="1985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56</w:t>
            </w:r>
          </w:p>
        </w:tc>
        <w:tc>
          <w:tcPr>
            <w:tcW w:w="1843" w:type="dxa"/>
          </w:tcPr>
          <w:p w:rsidR="00900845" w:rsidRPr="00817914" w:rsidRDefault="00817914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845"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54</w:t>
            </w:r>
          </w:p>
        </w:tc>
        <w:tc>
          <w:tcPr>
            <w:tcW w:w="2013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402" w:type="dxa"/>
          </w:tcPr>
          <w:p w:rsidR="00900845" w:rsidRPr="00817914" w:rsidRDefault="00900845" w:rsidP="0081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Хобі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13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</w:tbl>
    <w:p w:rsidR="00900845" w:rsidRPr="00817914" w:rsidRDefault="00900845" w:rsidP="003D15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0845" w:rsidRPr="00817914" w:rsidRDefault="00900845" w:rsidP="003D1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791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проективної методики «Кактус»</w:t>
      </w:r>
    </w:p>
    <w:p w:rsidR="00817914" w:rsidRDefault="00817914" w:rsidP="003D15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0845" w:rsidRPr="00140DF5" w:rsidRDefault="00900845" w:rsidP="003D15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30742D" wp14:editId="266CAD39">
            <wp:extent cx="5667375" cy="2438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0DF5" w:rsidRPr="00140DF5" w:rsidRDefault="00140DF5" w:rsidP="003D155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17914" w:rsidRDefault="00817914" w:rsidP="003D15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3441C" w:rsidRDefault="0013441C" w:rsidP="003D15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40DF5" w:rsidRPr="00313B6F" w:rsidRDefault="00140DF5" w:rsidP="001344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DF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Корекційно-відн</w:t>
      </w:r>
      <w:r w:rsidR="0077268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овлювальний</w:t>
      </w:r>
      <w:r w:rsidR="0013441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та розвивальн</w:t>
      </w:r>
      <w:r w:rsidR="0077268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ий напрямок</w:t>
      </w:r>
    </w:p>
    <w:p w:rsidR="0013441C" w:rsidRPr="00313B6F" w:rsidRDefault="0013441C" w:rsidP="001344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Раз у три місяці складається списки учнів, які стоять на </w:t>
      </w:r>
      <w:proofErr w:type="spellStart"/>
      <w:r w:rsidRPr="00140DF5">
        <w:rPr>
          <w:rFonts w:ascii="Times New Roman" w:hAnsi="Times New Roman" w:cs="Times New Roman"/>
          <w:sz w:val="28"/>
          <w:szCs w:val="28"/>
          <w:lang w:val="uk-UA"/>
        </w:rPr>
        <w:t>внутріліцейному</w:t>
      </w:r>
      <w:proofErr w:type="spellEnd"/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та картковому обліку, учні, які опинилися у складних життєвих обставинах. Індивідуальні та групові консультації психолога. </w:t>
      </w:r>
    </w:p>
    <w:p w:rsidR="00900845" w:rsidRPr="00140DF5" w:rsidRDefault="00900845" w:rsidP="003D1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Сумісна робота з Центрами соціальних служб сім</w:t>
      </w:r>
      <w:r w:rsidR="0013441C" w:rsidRPr="0013441C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ї та молоді, обласними та районними центрами зайнятості, відділом Фрунзенського ГУНП України в Харківській області, </w:t>
      </w:r>
      <w:proofErr w:type="spellStart"/>
      <w:r w:rsidRPr="00140DF5">
        <w:rPr>
          <w:rFonts w:ascii="Times New Roman" w:hAnsi="Times New Roman" w:cs="Times New Roman"/>
          <w:sz w:val="28"/>
          <w:szCs w:val="28"/>
          <w:lang w:val="uk-UA"/>
        </w:rPr>
        <w:t>Немишлянським</w:t>
      </w:r>
      <w:proofErr w:type="spellEnd"/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райвиконкомом, службами у справах неповнолітніх.</w:t>
      </w:r>
    </w:p>
    <w:p w:rsidR="00900845" w:rsidRPr="00140DF5" w:rsidRDefault="00900845" w:rsidP="003D155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>,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>.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D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0DF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пров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едено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>: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>.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- права і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кожного.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>.</w:t>
      </w:r>
    </w:p>
    <w:p w:rsidR="0090084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3441C" w:rsidRDefault="0013441C" w:rsidP="001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41C" w:rsidRPr="00140DF5" w:rsidRDefault="002250F1" w:rsidP="0013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Психологом ліцею </w:t>
      </w:r>
      <w:r w:rsidR="0013441C"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такі виховні заходи:</w:t>
      </w:r>
    </w:p>
    <w:p w:rsidR="0090084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01.11.2016 – 08.11.2016 – сумісно з «Фондом спасіння дітей а молоді від наркотиків» проведено профілактичну бесіду «Правда про наркотики».</w:t>
      </w:r>
    </w:p>
    <w:p w:rsidR="0013441C" w:rsidRPr="00140DF5" w:rsidRDefault="0013441C" w:rsidP="0013441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Лекція «Правда о на</w:t>
      </w:r>
      <w:r>
        <w:rPr>
          <w:rFonts w:ascii="Times New Roman" w:hAnsi="Times New Roman" w:cs="Times New Roman"/>
          <w:sz w:val="28"/>
          <w:szCs w:val="28"/>
          <w:lang w:val="uk-UA"/>
        </w:rPr>
        <w:t>ркотиках», Фонд спасіння дітей т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а підлітків від наркотиків 08.11.2016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15.01.2017 – 26.12.2017 – Десятиденний тренінг з подолання агресії «Приборкати дракона»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15.012017 – 15.03.2017 БФ «</w:t>
      </w:r>
      <w:proofErr w:type="spellStart"/>
      <w:r w:rsidRPr="00140DF5">
        <w:rPr>
          <w:rFonts w:ascii="Times New Roman" w:hAnsi="Times New Roman" w:cs="Times New Roman"/>
          <w:sz w:val="28"/>
          <w:szCs w:val="28"/>
          <w:lang w:val="uk-UA"/>
        </w:rPr>
        <w:t>Карітас</w:t>
      </w:r>
      <w:proofErr w:type="spellEnd"/>
      <w:r w:rsidRPr="00140DF5">
        <w:rPr>
          <w:rFonts w:ascii="Times New Roman" w:hAnsi="Times New Roman" w:cs="Times New Roman"/>
          <w:sz w:val="28"/>
          <w:szCs w:val="28"/>
          <w:lang w:val="uk-UA"/>
        </w:rPr>
        <w:t>» цикл тренінгів з профілактики негативних явищ у молодіжному суспільстві.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28.02.2017 - Харківський міський центр зайнятості «Техніка пошуку роботи»</w:t>
      </w:r>
    </w:p>
    <w:p w:rsidR="00900845" w:rsidRPr="00140DF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1.02.2017 – 15.03.2018   тренінг з профілактики </w:t>
      </w:r>
      <w:proofErr w:type="spellStart"/>
      <w:r w:rsidRPr="00140DF5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серед учнів.</w:t>
      </w:r>
    </w:p>
    <w:p w:rsidR="00900845" w:rsidRDefault="0090084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23.03.2017 - 23.05.2017 ЦДП «Компас» </w:t>
      </w:r>
      <w:r w:rsidR="00454D21">
        <w:rPr>
          <w:rFonts w:ascii="Times New Roman" w:hAnsi="Times New Roman" w:cs="Times New Roman"/>
          <w:sz w:val="28"/>
          <w:szCs w:val="28"/>
          <w:lang w:val="uk-UA"/>
        </w:rPr>
        <w:t>тренінги з  профілактики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соціально-небезп</w:t>
      </w:r>
      <w:r w:rsidR="00454D21">
        <w:rPr>
          <w:rFonts w:ascii="Times New Roman" w:hAnsi="Times New Roman" w:cs="Times New Roman"/>
          <w:sz w:val="28"/>
          <w:szCs w:val="28"/>
          <w:lang w:val="uk-UA"/>
        </w:rPr>
        <w:t>ечних захворювань.</w:t>
      </w:r>
    </w:p>
    <w:p w:rsidR="00454D21" w:rsidRPr="00140DF5" w:rsidRDefault="00454D21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30.05.2017 –  профілактичний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Наркотики-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 моя тема!» у рамках</w:t>
      </w:r>
      <w:r w:rsidR="00F63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акції «Молодь за здоровий спосіб життя»</w:t>
      </w:r>
    </w:p>
    <w:p w:rsidR="003F11A5" w:rsidRDefault="003F11A5" w:rsidP="003D1553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845" w:rsidRPr="00140DF5" w:rsidRDefault="002250F1" w:rsidP="0045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</w:t>
      </w:r>
      <w:r w:rsidR="00900845" w:rsidRPr="003F11A5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</w:t>
      </w:r>
      <w:r w:rsidR="003F11A5" w:rsidRPr="003F11A5">
        <w:rPr>
          <w:rFonts w:ascii="Times New Roman" w:hAnsi="Times New Roman" w:cs="Times New Roman"/>
          <w:sz w:val="28"/>
          <w:szCs w:val="28"/>
          <w:lang w:val="uk-UA"/>
        </w:rPr>
        <w:t>і бесіди з батьками або особами</w:t>
      </w:r>
      <w:r w:rsidR="00900845" w:rsidRPr="003F11A5">
        <w:rPr>
          <w:rFonts w:ascii="Times New Roman" w:hAnsi="Times New Roman" w:cs="Times New Roman"/>
          <w:sz w:val="28"/>
          <w:szCs w:val="28"/>
          <w:lang w:val="uk-UA"/>
        </w:rPr>
        <w:t xml:space="preserve">, що їх замінюють,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надавалися </w:t>
      </w:r>
      <w:r w:rsidR="00900845" w:rsidRPr="003F11A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щодо виховання та утримання підлітків. </w:t>
      </w:r>
    </w:p>
    <w:p w:rsidR="002250F1" w:rsidRDefault="00900845" w:rsidP="002250F1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  З метою попередження втягування дітей до вживання наркотичних речовин, алкоголю, тютюнопаління, токсикоманії, </w:t>
      </w:r>
      <w:r w:rsidR="002250F1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диспути в учнівських групах “Тютюнопаління</w:t>
      </w:r>
      <w:r w:rsidR="00225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5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за і проти ”. </w:t>
      </w:r>
      <w:r w:rsidR="00225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4D21" w:rsidRDefault="00140DF5" w:rsidP="00454D21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Залучення учнів ліцею до соціал</w:t>
      </w:r>
      <w:r w:rsidR="002250F1">
        <w:rPr>
          <w:rFonts w:ascii="Times New Roman" w:hAnsi="Times New Roman" w:cs="Times New Roman"/>
          <w:sz w:val="28"/>
          <w:szCs w:val="28"/>
          <w:lang w:val="uk-UA"/>
        </w:rPr>
        <w:t>ьної програми  “Діти вулиць ”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, участь у тренінгах МБФ “Міжнародний альянс по ВІЛ та СНІД в Україні</w:t>
      </w:r>
      <w:r w:rsidR="002250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40DF5" w:rsidRPr="00140DF5" w:rsidRDefault="00454D21" w:rsidP="00454D21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Психологом </w:t>
      </w:r>
      <w:r w:rsidR="00140DF5"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ліцею проводиться діагностика та корекція внутрішньо-родинних стосунків, проводяться лекторії для батьків :</w:t>
      </w:r>
    </w:p>
    <w:p w:rsidR="00140DF5" w:rsidRPr="00140DF5" w:rsidRDefault="00454D21" w:rsidP="003D1553">
      <w:pPr>
        <w:tabs>
          <w:tab w:val="left" w:pos="993"/>
          <w:tab w:val="left" w:pos="77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DF5" w:rsidRPr="00140DF5">
        <w:rPr>
          <w:rFonts w:ascii="Times New Roman" w:hAnsi="Times New Roman" w:cs="Times New Roman"/>
          <w:sz w:val="28"/>
          <w:szCs w:val="28"/>
          <w:lang w:val="uk-UA"/>
        </w:rPr>
        <w:t>“Стоп насильству в родині ”</w:t>
      </w:r>
    </w:p>
    <w:p w:rsidR="006F0CEC" w:rsidRDefault="00140DF5" w:rsidP="003D1553">
      <w:pPr>
        <w:tabs>
          <w:tab w:val="left" w:pos="993"/>
          <w:tab w:val="left" w:pos="77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“Знайомство батьків з ЗУ “</w:t>
      </w:r>
    </w:p>
    <w:p w:rsidR="00140DF5" w:rsidRPr="00140DF5" w:rsidRDefault="00140DF5" w:rsidP="003D1553">
      <w:pPr>
        <w:tabs>
          <w:tab w:val="left" w:pos="993"/>
          <w:tab w:val="left" w:pos="77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D2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Про відповідальні</w:t>
      </w:r>
      <w:r w:rsidR="00454D21">
        <w:rPr>
          <w:rFonts w:ascii="Times New Roman" w:hAnsi="Times New Roman" w:cs="Times New Roman"/>
          <w:sz w:val="28"/>
          <w:szCs w:val="28"/>
          <w:lang w:val="uk-UA"/>
        </w:rPr>
        <w:t>сть батьків за виховання дітей»</w:t>
      </w:r>
    </w:p>
    <w:p w:rsidR="00140DF5" w:rsidRPr="00140DF5" w:rsidRDefault="00454D21" w:rsidP="003D1553">
      <w:pPr>
        <w:tabs>
          <w:tab w:val="left" w:pos="993"/>
          <w:tab w:val="left" w:pos="77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</w:t>
      </w:r>
      <w:r w:rsidR="006F0CEC">
        <w:rPr>
          <w:rFonts w:ascii="Times New Roman" w:hAnsi="Times New Roman" w:cs="Times New Roman"/>
          <w:sz w:val="28"/>
          <w:szCs w:val="28"/>
          <w:lang w:val="uk-UA"/>
        </w:rPr>
        <w:t>сихологічна допомога дітям які поте</w:t>
      </w:r>
      <w:r w:rsidR="00140DF5" w:rsidRPr="00140DF5">
        <w:rPr>
          <w:rFonts w:ascii="Times New Roman" w:hAnsi="Times New Roman" w:cs="Times New Roman"/>
          <w:sz w:val="28"/>
          <w:szCs w:val="28"/>
          <w:lang w:val="uk-UA"/>
        </w:rPr>
        <w:t>рпають від насильства у сім’</w:t>
      </w:r>
      <w:r w:rsidR="00140DF5" w:rsidRPr="00140DF5">
        <w:rPr>
          <w:rFonts w:ascii="Times New Roman" w:hAnsi="Times New Roman" w:cs="Times New Roman"/>
          <w:sz w:val="28"/>
          <w:szCs w:val="28"/>
        </w:rPr>
        <w:t>ї</w:t>
      </w:r>
      <w:r w:rsidR="00140DF5" w:rsidRPr="00140DF5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250F1" w:rsidRPr="00140DF5" w:rsidRDefault="002250F1" w:rsidP="002250F1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>Двічі на тиждень Благодійна організація «Парус» проводить лекції з учнями, які мешкають у гуртожитку з питань впливу наркотиків на організм.</w:t>
      </w:r>
    </w:p>
    <w:p w:rsidR="00140DF5" w:rsidRPr="00140DF5" w:rsidRDefault="00140DF5" w:rsidP="003D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DF5" w:rsidRPr="00140DF5" w:rsidRDefault="00140DF5" w:rsidP="003D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DF5" w:rsidRPr="00140DF5" w:rsidRDefault="00140DF5" w:rsidP="003D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Захисна робота :</w:t>
      </w:r>
    </w:p>
    <w:p w:rsidR="00140DF5" w:rsidRPr="00140DF5" w:rsidRDefault="00140DF5" w:rsidP="003D1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553" w:rsidRPr="00991FC9" w:rsidRDefault="003D1553" w:rsidP="003D1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Практичний психолог ДНЗ “Харківський професійний ліцей будівельних технологій” протягом року забезпечував 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ий супровід учнів і педагогічного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ліцею, сприяв їх психіч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та особистісному розвитку. 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Працював   над проблемою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згуртованості груп, патріотичного 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 вихованням учнів,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психологічного клімату </w:t>
      </w:r>
      <w:r>
        <w:rPr>
          <w:rFonts w:ascii="Times New Roman" w:hAnsi="Times New Roman" w:cs="Times New Roman"/>
          <w:sz w:val="28"/>
          <w:szCs w:val="28"/>
          <w:lang w:val="uk-UA"/>
        </w:rPr>
        <w:t>у ліцеї та окремих навчальних групах. Використовувала тренінги</w:t>
      </w: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з елементами гри для організації виконання завдань з метою підвищення мотивації навчання, виховання і пізнавальної активності учнів.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Проводилась наступна робота та вирішувались такі завдання: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1FC9">
        <w:rPr>
          <w:rFonts w:ascii="Times New Roman" w:hAnsi="Times New Roman" w:cs="Times New Roman"/>
          <w:sz w:val="28"/>
          <w:szCs w:val="28"/>
          <w:u w:val="single"/>
          <w:lang w:val="uk-UA"/>
        </w:rPr>
        <w:t>1) виявлення: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-  сформованості </w:t>
      </w:r>
      <w:proofErr w:type="spellStart"/>
      <w:r w:rsidRPr="00991FC9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991FC9">
        <w:rPr>
          <w:rFonts w:ascii="Times New Roman" w:hAnsi="Times New Roman" w:cs="Times New Roman"/>
          <w:sz w:val="28"/>
          <w:szCs w:val="28"/>
          <w:lang w:val="uk-UA"/>
        </w:rPr>
        <w:t xml:space="preserve"> умінь і навичок, особливості мотивації   </w:t>
      </w:r>
      <w:proofErr w:type="spellStart"/>
      <w:r w:rsidRPr="00991FC9">
        <w:rPr>
          <w:rFonts w:ascii="Times New Roman" w:hAnsi="Times New Roman" w:cs="Times New Roman"/>
          <w:sz w:val="28"/>
          <w:szCs w:val="28"/>
          <w:lang w:val="uk-UA"/>
        </w:rPr>
        <w:t>першокуксників</w:t>
      </w:r>
      <w:proofErr w:type="spellEnd"/>
      <w:r w:rsidRPr="00991FC9">
        <w:rPr>
          <w:rFonts w:ascii="Times New Roman" w:hAnsi="Times New Roman" w:cs="Times New Roman"/>
          <w:sz w:val="28"/>
          <w:szCs w:val="28"/>
          <w:lang w:val="uk-UA"/>
        </w:rPr>
        <w:t>, професійні інтереси і схильності всіх учнів ліцею;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- труднощі в міжособистісних відносинах педагогічного та учнівського колективу;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- причини можливих утруднень в освоєнні навчальної програми ліцею та адаптації учнів першого курсу;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-учнів із родин, що знаходяться у складних життєвих обставинах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u w:val="single"/>
          <w:lang w:val="uk-UA"/>
        </w:rPr>
        <w:t>2) здійснення: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lastRenderedPageBreak/>
        <w:t>-  профілактики небажаних негативних тенденцій особистісного та інтелектуального розвитку учнів;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- просвітницької та консультаційної діяльності, спрямованої на залучення вчителів, учнів і батьків до психологічних знань;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u w:val="single"/>
          <w:lang w:val="uk-UA"/>
        </w:rPr>
        <w:t>3) сприяння: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- створення оптимальної пристосовності до навчального процесу першого курсу;</w:t>
      </w:r>
    </w:p>
    <w:p w:rsidR="003D1553" w:rsidRPr="00991FC9" w:rsidRDefault="003D1553" w:rsidP="003D15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1FC9">
        <w:rPr>
          <w:rFonts w:ascii="Times New Roman" w:hAnsi="Times New Roman" w:cs="Times New Roman"/>
          <w:sz w:val="28"/>
          <w:szCs w:val="28"/>
          <w:lang w:val="uk-UA"/>
        </w:rPr>
        <w:t>- гармонізації соціально - психологічного клімату в ліцеї, родині.</w:t>
      </w:r>
    </w:p>
    <w:p w:rsidR="003D1553" w:rsidRPr="00991FC9" w:rsidRDefault="003D1553" w:rsidP="003D15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0DF5" w:rsidRPr="00140DF5" w:rsidRDefault="00F639F8" w:rsidP="003D1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практичний психолог приймала </w:t>
      </w:r>
      <w:r w:rsidR="00051E16">
        <w:rPr>
          <w:rFonts w:ascii="Times New Roman" w:hAnsi="Times New Roman" w:cs="Times New Roman"/>
          <w:sz w:val="28"/>
          <w:szCs w:val="28"/>
          <w:lang w:val="uk-UA"/>
        </w:rPr>
        <w:t xml:space="preserve">участь у таких виховних заходах </w:t>
      </w:r>
      <w:proofErr w:type="spellStart"/>
      <w:r w:rsidR="00051E16">
        <w:rPr>
          <w:rFonts w:ascii="Times New Roman" w:hAnsi="Times New Roman" w:cs="Times New Roman"/>
          <w:sz w:val="28"/>
          <w:szCs w:val="28"/>
          <w:lang w:val="uk-UA"/>
        </w:rPr>
        <w:t>ліцейного</w:t>
      </w:r>
      <w:proofErr w:type="spellEnd"/>
      <w:r w:rsidR="00051E16">
        <w:rPr>
          <w:rFonts w:ascii="Times New Roman" w:hAnsi="Times New Roman" w:cs="Times New Roman"/>
          <w:sz w:val="28"/>
          <w:szCs w:val="28"/>
          <w:lang w:val="uk-UA"/>
        </w:rPr>
        <w:t xml:space="preserve"> та міського </w:t>
      </w:r>
      <w:proofErr w:type="spellStart"/>
      <w:r w:rsidR="00051E16">
        <w:rPr>
          <w:rFonts w:ascii="Times New Roman" w:hAnsi="Times New Roman" w:cs="Times New Roman"/>
          <w:sz w:val="28"/>
          <w:szCs w:val="28"/>
          <w:lang w:val="uk-UA"/>
        </w:rPr>
        <w:t>маштабу</w:t>
      </w:r>
      <w:proofErr w:type="spellEnd"/>
      <w:r w:rsidR="00051E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DF5" w:rsidRPr="00140DF5" w:rsidRDefault="00140DF5" w:rsidP="003D1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9528F" w:rsidRDefault="0049528F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17.02.2017 – Школа молодого педагога «Оминаймо гострі кути» - попередження конфліктів  в учнівському колективі.</w:t>
      </w:r>
    </w:p>
    <w:p w:rsidR="0049528F" w:rsidRDefault="0049528F" w:rsidP="0049528F">
      <w:pPr>
        <w:tabs>
          <w:tab w:val="left" w:pos="993"/>
          <w:tab w:val="left" w:pos="7740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15.03.2017 –</w:t>
      </w:r>
      <w:r w:rsidR="00051E16">
        <w:rPr>
          <w:rFonts w:ascii="Times New Roman" w:hAnsi="Times New Roman" w:cs="Times New Roman"/>
          <w:sz w:val="28"/>
          <w:szCs w:val="28"/>
          <w:lang w:val="uk-UA"/>
        </w:rPr>
        <w:t xml:space="preserve">  прес-конференція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благодійного аукціону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9528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Дані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медіа-групі «НАКИПІЛО»</w:t>
      </w:r>
    </w:p>
    <w:p w:rsidR="00542762" w:rsidRDefault="0071436C" w:rsidP="0049528F">
      <w:pPr>
        <w:tabs>
          <w:tab w:val="left" w:pos="993"/>
          <w:tab w:val="left" w:pos="7740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2762">
        <w:rPr>
          <w:rFonts w:ascii="Times New Roman" w:hAnsi="Times New Roman" w:cs="Times New Roman"/>
          <w:sz w:val="28"/>
          <w:szCs w:val="28"/>
          <w:lang w:val="uk-UA"/>
        </w:rPr>
        <w:t>16.03.2017 –</w:t>
      </w:r>
      <w:r w:rsidR="00051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BFB">
        <w:rPr>
          <w:rFonts w:ascii="Times New Roman" w:hAnsi="Times New Roman" w:cs="Times New Roman"/>
          <w:sz w:val="28"/>
          <w:szCs w:val="28"/>
          <w:lang w:val="uk-UA"/>
        </w:rPr>
        <w:t>розмальов</w:t>
      </w:r>
      <w:r w:rsidR="00051E16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E0BFB">
        <w:rPr>
          <w:rFonts w:ascii="Times New Roman" w:hAnsi="Times New Roman" w:cs="Times New Roman"/>
          <w:sz w:val="28"/>
          <w:szCs w:val="28"/>
          <w:lang w:val="uk-UA"/>
        </w:rPr>
        <w:t xml:space="preserve"> футболок до благодійного аукціону у ХСШ № 11</w:t>
      </w:r>
      <w:r w:rsidR="00F639F8">
        <w:rPr>
          <w:rFonts w:ascii="Times New Roman" w:hAnsi="Times New Roman" w:cs="Times New Roman"/>
          <w:sz w:val="28"/>
          <w:szCs w:val="28"/>
          <w:lang w:val="uk-UA"/>
        </w:rPr>
        <w:t xml:space="preserve"> (3 учнів) </w:t>
      </w:r>
    </w:p>
    <w:p w:rsidR="00542762" w:rsidRDefault="00542762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18.03.2017 –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флеш-мобі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підтримку дітей з синдромом Дауна </w:t>
      </w:r>
    </w:p>
    <w:p w:rsidR="0071436C" w:rsidRDefault="0071436C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06.04.2017 –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науково-дослідний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протезування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протезобудування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відновлення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працездатноті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(м. </w:t>
      </w:r>
      <w:proofErr w:type="spellStart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71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Зустріч із учасниками АТО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Довгорук</w:t>
      </w:r>
      <w:r w:rsid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Вадим</w:t>
      </w:r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ом, Сергієнко </w:t>
      </w:r>
      <w:proofErr w:type="spellStart"/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Атруром</w:t>
      </w:r>
      <w:proofErr w:type="spellEnd"/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іншими (4 учнів)</w:t>
      </w:r>
    </w:p>
    <w:p w:rsidR="002C3057" w:rsidRDefault="002C3057" w:rsidP="002C3057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20.04.2017 –  Акція «Дерево життя» для учнів </w:t>
      </w:r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ліцею, а також </w:t>
      </w:r>
    </w:p>
    <w:p w:rsidR="002C3057" w:rsidRPr="002C3057" w:rsidRDefault="002C3057" w:rsidP="002C3057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участь у благодійному аукціоні «БАШ – НА БАШ»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пам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`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Дані </w:t>
      </w:r>
      <w:proofErr w:type="spellStart"/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Дідіка</w:t>
      </w:r>
      <w:proofErr w:type="spellEnd"/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(6 учнів)</w:t>
      </w:r>
    </w:p>
    <w:p w:rsidR="0071436C" w:rsidRDefault="002C3057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21.04.2017 –</w:t>
      </w:r>
      <w:r w:rsidRPr="002C30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Чугуївськ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</w:t>
      </w:r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фінал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конкурсної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ІV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Чугуївського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відкритого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фестивалю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роликів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короткометражних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фільмів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Відкритий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</w:t>
      </w:r>
      <w:proofErr w:type="spellEnd"/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(4 учнів)</w:t>
      </w:r>
    </w:p>
    <w:p w:rsidR="002C3057" w:rsidRDefault="002C3057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29.04.2017 – організація майстер-класу з виготовлення СУШІ у ресторані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Якіторія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(8 учнів)</w:t>
      </w:r>
    </w:p>
    <w:p w:rsidR="002C3057" w:rsidRDefault="002C3057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17.05.2017 – участь у фестивалі «Молодь обирає здоров</w:t>
      </w:r>
      <w:r w:rsidRPr="002C3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(7 учнів)</w:t>
      </w:r>
    </w:p>
    <w:p w:rsidR="00F639F8" w:rsidRDefault="00F639F8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18.05.2017 – участь у міській акції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</w:t>
      </w:r>
      <w:proofErr w:type="spellStart"/>
      <w:r w:rsidRP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вишиванки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(4 учнів)</w:t>
      </w:r>
    </w:p>
    <w:p w:rsidR="00F639F8" w:rsidRDefault="00F639F8" w:rsidP="00F639F8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30.05.2017 – профілактичний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девізом</w:t>
      </w:r>
      <w:r w:rsidRPr="00F6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"Наркотики? Не моя тема!"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рамках міської акції «Молодь за здоровий спосіб життя» (10 учнів)</w:t>
      </w:r>
      <w:r w:rsidR="00051E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9F8" w:rsidRPr="00F639F8" w:rsidRDefault="00F639F8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C3057" w:rsidRPr="002C3057" w:rsidRDefault="002C3057" w:rsidP="0071436C">
      <w:pPr>
        <w:tabs>
          <w:tab w:val="left" w:pos="993"/>
          <w:tab w:val="left" w:pos="774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9F8" w:rsidRPr="00140DF5" w:rsidRDefault="00F639F8" w:rsidP="00F639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У наступному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 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планується робота з педагогами щодо покращення взаємодії з учнівським ко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>ективом, провести роботу з реалізації особистісного потенціалу, тренінги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професійного вигоряння,  проведення психологічних </w:t>
      </w:r>
      <w:proofErr w:type="spellStart"/>
      <w:r w:rsidRPr="00140DF5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рівня навчальної діяльності.</w:t>
      </w:r>
    </w:p>
    <w:p w:rsidR="003F11A5" w:rsidRPr="00140DF5" w:rsidRDefault="00F639F8" w:rsidP="00693A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  <w:sectPr w:rsidR="003F11A5" w:rsidRPr="00140DF5" w:rsidSect="00693A41">
          <w:pgSz w:w="11906" w:h="16838"/>
          <w:pgMar w:top="1418" w:right="917" w:bottom="709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З  учнями випускних груп</w:t>
      </w:r>
      <w:r w:rsidRPr="00140DF5">
        <w:rPr>
          <w:rFonts w:ascii="Times New Roman" w:hAnsi="Times New Roman" w:cs="Times New Roman"/>
          <w:sz w:val="28"/>
          <w:szCs w:val="28"/>
          <w:lang w:val="uk-UA"/>
        </w:rPr>
        <w:t xml:space="preserve"> робота з підготовки до ЗНО, соціально – психо</w:t>
      </w:r>
      <w:r w:rsidR="00693A41">
        <w:rPr>
          <w:rFonts w:ascii="Times New Roman" w:hAnsi="Times New Roman" w:cs="Times New Roman"/>
          <w:sz w:val="28"/>
          <w:szCs w:val="28"/>
          <w:lang w:val="uk-UA"/>
        </w:rPr>
        <w:t>логічний супровід  дітей-сиріт</w:t>
      </w:r>
    </w:p>
    <w:p w:rsidR="00140DF5" w:rsidRPr="004E076E" w:rsidRDefault="00140DF5" w:rsidP="00693A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0DF5" w:rsidRPr="004E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C8221DC"/>
    <w:multiLevelType w:val="hybridMultilevel"/>
    <w:tmpl w:val="362C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5505"/>
    <w:multiLevelType w:val="hybridMultilevel"/>
    <w:tmpl w:val="3A58B5A0"/>
    <w:lvl w:ilvl="0" w:tplc="9CE0B500">
      <w:start w:val="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92"/>
    <w:rsid w:val="00051E16"/>
    <w:rsid w:val="000D5543"/>
    <w:rsid w:val="0013441C"/>
    <w:rsid w:val="00140DF5"/>
    <w:rsid w:val="002250F1"/>
    <w:rsid w:val="002C3057"/>
    <w:rsid w:val="00313B6F"/>
    <w:rsid w:val="00321567"/>
    <w:rsid w:val="00362398"/>
    <w:rsid w:val="003B50BF"/>
    <w:rsid w:val="003D1553"/>
    <w:rsid w:val="003F11A5"/>
    <w:rsid w:val="00454D21"/>
    <w:rsid w:val="0049528F"/>
    <w:rsid w:val="004B0E52"/>
    <w:rsid w:val="00542762"/>
    <w:rsid w:val="005E0BFB"/>
    <w:rsid w:val="00693A41"/>
    <w:rsid w:val="006C2073"/>
    <w:rsid w:val="006F0CEC"/>
    <w:rsid w:val="0071436C"/>
    <w:rsid w:val="007561C8"/>
    <w:rsid w:val="00772688"/>
    <w:rsid w:val="00801231"/>
    <w:rsid w:val="00817914"/>
    <w:rsid w:val="00857F92"/>
    <w:rsid w:val="00900845"/>
    <w:rsid w:val="00901F65"/>
    <w:rsid w:val="00991FC9"/>
    <w:rsid w:val="00A4516D"/>
    <w:rsid w:val="00AA3CF2"/>
    <w:rsid w:val="00DF52EA"/>
    <w:rsid w:val="00F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1FC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845"/>
    <w:pPr>
      <w:ind w:left="720"/>
      <w:contextualSpacing/>
    </w:pPr>
  </w:style>
  <w:style w:type="table" w:styleId="a5">
    <w:name w:val="Table Grid"/>
    <w:basedOn w:val="a1"/>
    <w:uiPriority w:val="59"/>
    <w:rsid w:val="0090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1FC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845"/>
    <w:pPr>
      <w:ind w:left="720"/>
      <w:contextualSpacing/>
    </w:pPr>
  </w:style>
  <w:style w:type="table" w:styleId="a5">
    <w:name w:val="Table Grid"/>
    <w:basedOn w:val="a1"/>
    <w:uiPriority w:val="59"/>
    <w:rsid w:val="0090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102;&#1083;&#1103;\&#1082;&#1086;&#1088;&#1088;&#1077;&#1082;&#1094;&#1080;&#1103;%20&#1072;&#1075;&#1088;&#1077;&#1089;&#1089;&#1080;&#1080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923322683706068E-2"/>
          <c:y val="7.8703703703703706E-2"/>
          <c:w val="0.81469648562300323"/>
          <c:h val="0.75462962962962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Хлопці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FA</c:v>
                </c:pt>
                <c:pt idx="1">
                  <c:v>VA</c:v>
                </c:pt>
                <c:pt idx="2">
                  <c:v>KA</c:v>
                </c:pt>
                <c:pt idx="3">
                  <c:v>NEG</c:v>
                </c:pt>
                <c:pt idx="4">
                  <c:v>RAS</c:v>
                </c:pt>
                <c:pt idx="5">
                  <c:v>POD</c:v>
                </c:pt>
                <c:pt idx="6">
                  <c:v>OB</c:v>
                </c:pt>
                <c:pt idx="7">
                  <c:v>ChV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</c:v>
                </c:pt>
                <c:pt idx="1">
                  <c:v>31</c:v>
                </c:pt>
                <c:pt idx="2">
                  <c:v>13</c:v>
                </c:pt>
                <c:pt idx="3">
                  <c:v>4</c:v>
                </c:pt>
                <c:pt idx="4">
                  <c:v>26</c:v>
                </c:pt>
                <c:pt idx="5">
                  <c:v>25</c:v>
                </c:pt>
                <c:pt idx="6">
                  <c:v>5</c:v>
                </c:pt>
                <c:pt idx="7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Дівчата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FA</c:v>
                </c:pt>
                <c:pt idx="1">
                  <c:v>VA</c:v>
                </c:pt>
                <c:pt idx="2">
                  <c:v>KA</c:v>
                </c:pt>
                <c:pt idx="3">
                  <c:v>NEG</c:v>
                </c:pt>
                <c:pt idx="4">
                  <c:v>RAS</c:v>
                </c:pt>
                <c:pt idx="5">
                  <c:v>POD</c:v>
                </c:pt>
                <c:pt idx="6">
                  <c:v>OB</c:v>
                </c:pt>
                <c:pt idx="7">
                  <c:v>ChV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9</c:v>
                </c:pt>
                <c:pt idx="1">
                  <c:v>22</c:v>
                </c:pt>
                <c:pt idx="2">
                  <c:v>19</c:v>
                </c:pt>
                <c:pt idx="3">
                  <c:v>2</c:v>
                </c:pt>
                <c:pt idx="4">
                  <c:v>17</c:v>
                </c:pt>
                <c:pt idx="5">
                  <c:v>17</c:v>
                </c:pt>
                <c:pt idx="6">
                  <c:v>9</c:v>
                </c:pt>
                <c:pt idx="7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FA</c:v>
                </c:pt>
                <c:pt idx="1">
                  <c:v>VA</c:v>
                </c:pt>
                <c:pt idx="2">
                  <c:v>KA</c:v>
                </c:pt>
                <c:pt idx="3">
                  <c:v>NEG</c:v>
                </c:pt>
                <c:pt idx="4">
                  <c:v>RAS</c:v>
                </c:pt>
                <c:pt idx="5">
                  <c:v>POD</c:v>
                </c:pt>
                <c:pt idx="6">
                  <c:v>OB</c:v>
                </c:pt>
                <c:pt idx="7">
                  <c:v>ChV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750528"/>
        <c:axId val="153765376"/>
        <c:axId val="0"/>
      </c:bar3DChart>
      <c:catAx>
        <c:axId val="15375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65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765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50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8019169329073488"/>
          <c:y val="0.40277777777777779"/>
          <c:w val="0.1134185303514377"/>
          <c:h val="0.199074074074074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28596802841918E-2"/>
          <c:y val="7.9207920792079209E-2"/>
          <c:w val="0.9289520426287744"/>
          <c:h val="0.74752475247524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школа</c:v>
                </c:pt>
                <c:pt idx="1">
                  <c:v>друзі</c:v>
                </c:pt>
                <c:pt idx="2">
                  <c:v>батьки</c:v>
                </c:pt>
                <c:pt idx="3">
                  <c:v>об'ява</c:v>
                </c:pt>
                <c:pt idx="4">
                  <c:v>інтернет</c:v>
                </c:pt>
                <c:pt idx="5">
                  <c:v>інше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29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школа</c:v>
                </c:pt>
                <c:pt idx="1">
                  <c:v>друзі</c:v>
                </c:pt>
                <c:pt idx="2">
                  <c:v>батьки</c:v>
                </c:pt>
                <c:pt idx="3">
                  <c:v>об'ява</c:v>
                </c:pt>
                <c:pt idx="4">
                  <c:v>інтернет</c:v>
                </c:pt>
                <c:pt idx="5">
                  <c:v>інше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школа</c:v>
                </c:pt>
                <c:pt idx="1">
                  <c:v>друзі</c:v>
                </c:pt>
                <c:pt idx="2">
                  <c:v>батьки</c:v>
                </c:pt>
                <c:pt idx="3">
                  <c:v>об'ява</c:v>
                </c:pt>
                <c:pt idx="4">
                  <c:v>інтернет</c:v>
                </c:pt>
                <c:pt idx="5">
                  <c:v>інше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8467200"/>
        <c:axId val="158468736"/>
        <c:axId val="0"/>
      </c:bar3DChart>
      <c:catAx>
        <c:axId val="15846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46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68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46720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Лист1!$A$1:$A$13</c:f>
              <c:strCache>
                <c:ptCount val="13"/>
                <c:pt idx="0">
                  <c:v>Агрессивность</c:v>
                </c:pt>
                <c:pt idx="1">
                  <c:v>Импульсивность</c:v>
                </c:pt>
                <c:pt idx="2">
                  <c:v>Эгоцентризм, стремление к лидерству</c:v>
                </c:pt>
                <c:pt idx="3">
                  <c:v>Неуверенность в себе, зависимость</c:v>
                </c:pt>
                <c:pt idx="4">
                  <c:v>Демонстративность, открытость</c:v>
                </c:pt>
                <c:pt idx="5">
                  <c:v>Скрытность, осторожность</c:v>
                </c:pt>
                <c:pt idx="6">
                  <c:v>Оптимизм</c:v>
                </c:pt>
                <c:pt idx="7">
                  <c:v>Тревожность</c:v>
                </c:pt>
                <c:pt idx="8">
                  <c:v>Женственность</c:v>
                </c:pt>
                <c:pt idx="9">
                  <c:v>Экстравертированность</c:v>
                </c:pt>
                <c:pt idx="10">
                  <c:v>Интровертированность</c:v>
                </c:pt>
                <c:pt idx="11">
                  <c:v>Стремление к домашней защите,
 чувство семейной общности</c:v>
                </c:pt>
                <c:pt idx="12">
                  <c:v>Отсутствие стремления к домашней защите,
 чувство одиночества</c:v>
                </c:pt>
              </c:strCache>
            </c:strRef>
          </c:cat>
          <c:val>
            <c:numRef>
              <c:f>Лист1!$C$1:$C$13</c:f>
              <c:numCache>
                <c:formatCode>0.00%</c:formatCode>
                <c:ptCount val="13"/>
                <c:pt idx="0">
                  <c:v>0.75</c:v>
                </c:pt>
                <c:pt idx="1">
                  <c:v>0.25</c:v>
                </c:pt>
                <c:pt idx="2">
                  <c:v>0.41666666666666669</c:v>
                </c:pt>
                <c:pt idx="3">
                  <c:v>8.3333333333333329E-2</c:v>
                </c:pt>
                <c:pt idx="4">
                  <c:v>0.83333333333333337</c:v>
                </c:pt>
                <c:pt idx="5">
                  <c:v>8.3333333333333329E-2</c:v>
                </c:pt>
                <c:pt idx="6">
                  <c:v>0.16666666666666666</c:v>
                </c:pt>
                <c:pt idx="7">
                  <c:v>0.75</c:v>
                </c:pt>
                <c:pt idx="8">
                  <c:v>0.16666666666666666</c:v>
                </c:pt>
                <c:pt idx="9">
                  <c:v>0.25</c:v>
                </c:pt>
                <c:pt idx="10">
                  <c:v>0.75</c:v>
                </c:pt>
                <c:pt idx="11">
                  <c:v>0.41666666666666669</c:v>
                </c:pt>
                <c:pt idx="12">
                  <c:v>0.58333333333333337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504448"/>
        <c:axId val="158505984"/>
      </c:barChart>
      <c:catAx>
        <c:axId val="15850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505984"/>
        <c:crosses val="autoZero"/>
        <c:auto val="1"/>
        <c:lblAlgn val="ctr"/>
        <c:lblOffset val="100"/>
        <c:noMultiLvlLbl val="0"/>
      </c:catAx>
      <c:valAx>
        <c:axId val="1585059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850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2</cp:revision>
  <dcterms:created xsi:type="dcterms:W3CDTF">2017-11-10T10:48:00Z</dcterms:created>
  <dcterms:modified xsi:type="dcterms:W3CDTF">2017-11-10T10:48:00Z</dcterms:modified>
</cp:coreProperties>
</file>