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D4" w:rsidRDefault="00FA7CD4" w:rsidP="00FA7CD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Дата: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27.03.2020</w:t>
      </w:r>
    </w:p>
    <w:p w:rsidR="00FA7CD4" w:rsidRDefault="00FA7CD4" w:rsidP="00FA7CD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Група: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ШМ – 5</w:t>
      </w:r>
    </w:p>
    <w:p w:rsidR="00FA7CD4" w:rsidRDefault="00FA7CD4" w:rsidP="00FA7CD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FA7CD4" w:rsidRDefault="00FA7CD4" w:rsidP="00FA7CD4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Завдання № 1 </w:t>
      </w:r>
    </w:p>
    <w:p w:rsidR="00FA7CD4" w:rsidRDefault="00FA7CD4" w:rsidP="00FA7CD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Формування нових знань. Конспектування</w:t>
      </w:r>
    </w:p>
    <w:p w:rsidR="00FA67F7" w:rsidRPr="00FA67F7" w:rsidRDefault="00FA67F7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як правило,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викладеній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цегляній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кладці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змонтованої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великопанельних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стін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перегородок.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ідставою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облицювання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7F7" w:rsidRPr="00FA67F7" w:rsidRDefault="00FA67F7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влаштуванні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конструктивні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елементи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вирівнює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стяжку та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лицювальники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Конструктивний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елемент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</w:t>
      </w:r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сприймає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рухомого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транспорту та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експлуатаційних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впливів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називають</w:t>
      </w:r>
      <w:proofErr w:type="spellEnd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підлогою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Влаштовують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перекритті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грунті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A67F7" w:rsidRPr="00D219B8" w:rsidRDefault="00FA67F7" w:rsidP="00D219B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67F7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 wp14:anchorId="02990DAB" wp14:editId="44AE137E">
            <wp:extent cx="4200525" cy="1809750"/>
            <wp:effectExtent l="0" t="0" r="9525" b="0"/>
            <wp:docPr id="1" name="Рисунок 1" descr="Конструктивні елементи підлог, влаштованих на перекритті і на грун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тивні елементи підлог, влаштованих на перекритті і на грунт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7F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D219B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Мал.</w:t>
      </w:r>
      <w:r w:rsidR="00B36E0D" w:rsidRPr="00D219B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1</w:t>
      </w:r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Конструктивні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елементи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ідлог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влаштованих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перекритті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</w:t>
      </w:r>
      <w:r w:rsidRPr="00FA67F7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а</w:t>
      </w:r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) і на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грунті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</w:t>
      </w:r>
      <w:r w:rsidRPr="00FA67F7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б</w:t>
      </w:r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):</w:t>
      </w:r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1 -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залізобетонна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плита, 2 -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підстильний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шар (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підготовка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), 3 -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рулонна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гідроізоляція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4 -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прошарок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5 -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покриття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6 -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підстава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ущільнений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грунт), 7 -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бетонна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підготовка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підстильний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шар)</w:t>
      </w:r>
    </w:p>
    <w:p w:rsidR="00FA67F7" w:rsidRPr="00FA67F7" w:rsidRDefault="00FA67F7" w:rsidP="00FA6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7F7" w:rsidRPr="00FA67F7" w:rsidRDefault="00FA67F7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різноманіттям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конструктивних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A67F7"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такими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A67F7" w:rsidRPr="00FA67F7" w:rsidRDefault="00FA67F7" w:rsidP="00FA67F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матеріалом</w:t>
      </w:r>
      <w:proofErr w:type="spellEnd"/>
      <w:r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покриття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керамічних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синтетичних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плиток, бетону,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полімерних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лінолеуму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A67F7" w:rsidRPr="00FA67F7" w:rsidRDefault="00FA67F7" w:rsidP="00FA67F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конструкції</w:t>
      </w:r>
      <w:proofErr w:type="spellEnd"/>
      <w:r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покриття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суцільні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безшовні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штучні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рулонні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A67F7" w:rsidRPr="00FA67F7" w:rsidRDefault="00B36E0D" w:rsidP="00FA67F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Pr="00D219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характером </w:t>
      </w:r>
      <w:proofErr w:type="spellStart"/>
      <w:r w:rsidRPr="00D219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теплозасвоєння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«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влаштовуються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іщеннях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тривалим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перебуванням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людей (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кімнати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і «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влаштовуються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короткочасним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перебуванням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людей (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вестибюлі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будівель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санітарні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вузли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219B8" w:rsidRDefault="00FA67F7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конструкціях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</w:t>
      </w:r>
      <w:proofErr w:type="spellEnd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</w:p>
    <w:p w:rsidR="00D219B8" w:rsidRPr="00D219B8" w:rsidRDefault="00D219B8" w:rsidP="00D219B8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сполучення</w:t>
      </w:r>
      <w:proofErr w:type="spellEnd"/>
    </w:p>
    <w:p w:rsidR="00D219B8" w:rsidRPr="00D219B8" w:rsidRDefault="00FA67F7" w:rsidP="00D219B8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примикання</w:t>
      </w:r>
      <w:proofErr w:type="spellEnd"/>
    </w:p>
    <w:p w:rsidR="00D219B8" w:rsidRPr="00D219B8" w:rsidRDefault="00FA67F7" w:rsidP="00D219B8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деформаційні</w:t>
      </w:r>
      <w:proofErr w:type="spellEnd"/>
      <w:r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</w:t>
      </w:r>
      <w:proofErr w:type="spellEnd"/>
    </w:p>
    <w:p w:rsidR="00D219B8" w:rsidRPr="00D219B8" w:rsidRDefault="00FA67F7" w:rsidP="00D219B8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</w:t>
      </w:r>
      <w:r w:rsidR="00B36E0D"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</w:p>
    <w:p w:rsidR="00D219B8" w:rsidRPr="00D219B8" w:rsidRDefault="00B36E0D" w:rsidP="00D219B8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приямки</w:t>
      </w:r>
    </w:p>
    <w:p w:rsidR="00D219B8" w:rsidRPr="00D219B8" w:rsidRDefault="00B36E0D" w:rsidP="00D219B8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трапи</w:t>
      </w:r>
      <w:proofErr w:type="spellEnd"/>
    </w:p>
    <w:p w:rsidR="00FA67F7" w:rsidRPr="00D219B8" w:rsidRDefault="00B36E0D" w:rsidP="00D219B8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лотки і т. п</w:t>
      </w:r>
      <w:r w:rsidR="00FA67F7" w:rsidRP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7F7" w:rsidRPr="00D219B8" w:rsidRDefault="00FA67F7" w:rsidP="00D219B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67F7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 wp14:anchorId="1C025424" wp14:editId="2062A686">
            <wp:extent cx="3476625" cy="2609850"/>
            <wp:effectExtent l="0" t="0" r="9525" b="0"/>
            <wp:docPr id="2" name="Рисунок 2" descr="Сполучення (а) і примикання (б-д) під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лучення (а) і примикання (б-д) під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7F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Pr="00D219B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Мал</w:t>
      </w:r>
      <w:r w:rsidR="00B36E0D" w:rsidRPr="00D219B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2</w:t>
      </w:r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.Сполучення (а) і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примикання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(б-д) </w:t>
      </w:r>
      <w:proofErr w:type="spellStart"/>
      <w:proofErr w:type="gramStart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ідлог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:</w:t>
      </w:r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а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сполучення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мозаїчних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плиткових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підлог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примикання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полa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вертикальної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поверхні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закриті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б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жолобником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плінтусом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цементно-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піщаного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розчину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г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плінтусом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керамічної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плитки, д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плінтусом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пластмаси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1, 2 -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мозаїчний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і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плитковий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ідлоги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3 -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прошарок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цементного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розчину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4 -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бетонна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підготовка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5 -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сталевий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анкер,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забитий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підготовку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6 -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металевий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куточок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7 -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стіна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8 -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жолобник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дерев'яної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рейки, 9 -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покриття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синтетичних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матеріалів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10 -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вирівнює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стяжка, 11 -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плінтус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цементного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розчину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12 -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рулонна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гідроізоляція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13 - валик з цементного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розчину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14 -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</w:t>
      </w:r>
      <w:proofErr w:type="gram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інтус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керамічної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плитки, 15 - те ж,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пластмасовий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порожниною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електропроводки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16 - </w:t>
      </w:r>
      <w:proofErr w:type="spellStart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дерев'яний</w:t>
      </w:r>
      <w:proofErr w:type="spellEnd"/>
      <w:r w:rsidRPr="00FA67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брусок</w:t>
      </w:r>
    </w:p>
    <w:p w:rsidR="00B36E0D" w:rsidRPr="00FA67F7" w:rsidRDefault="00B36E0D" w:rsidP="00FA6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Сполучення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з'єднання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ізнотипних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покриттів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мозаїчних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плиткових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а). У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ісцях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сполучення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оздоблюють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сталеві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куточки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перешкоджають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руйнуванню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викришування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покриття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Закріплюють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куточки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металевими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анкерами,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закладеними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бетонну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Примикання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з'єднання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стінами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перегородками, колонами.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закривають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плінтусом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жолобником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б, в). У муз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ідлогах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підлогах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керамічної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плитки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плінтус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цементно-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піщаного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розчину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піддаються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води, кислот і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плінтуси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керамічних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кам'яних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плиток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г). У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ідлогах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полівінілхлоридної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плитки,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лінолеуму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синтетичних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дерев'яні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фрезеровані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деталі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плінтуси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галтелі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полівінілхлоридні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погонажні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д).</w:t>
      </w: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Деформаційні</w:t>
      </w:r>
      <w:proofErr w:type="spellEnd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шви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а, б) -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наскрізні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зазори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покритті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перешкоджають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утворенню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осадових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тріщин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сполучення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різнотипних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покриттів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гребеню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вододілу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підлоги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ухилом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механічні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деформаційні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облямовують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сталевими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куточками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при невеликих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навантаженнях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влаштовують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куточків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підлогах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перекритті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деформаційний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шов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компенсатор 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оцинкованої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Порожнина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деформаційних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заповнюють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волокнистими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просоченими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бітумом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36E0D" w:rsidRDefault="00FA67F7" w:rsidP="00FA6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67F7">
        <w:rPr>
          <w:rFonts w:ascii="Verdana" w:eastAsia="Times New Roman" w:hAnsi="Verdana"/>
          <w:noProof/>
          <w:color w:val="000000"/>
          <w:sz w:val="18"/>
          <w:szCs w:val="18"/>
          <w:lang w:eastAsia="ru-RU"/>
        </w:rPr>
        <w:drawing>
          <wp:inline distT="0" distB="0" distL="0" distR="0" wp14:anchorId="039B1410" wp14:editId="6F5D51D2">
            <wp:extent cx="3876675" cy="4276725"/>
            <wp:effectExtent l="0" t="0" r="9525" b="9525"/>
            <wp:docPr id="3" name="Рисунок 3" descr="Деталі підлог промислових будів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алі підлог промислових будів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7F7">
        <w:rPr>
          <w:rFonts w:ascii="Verdana" w:eastAsia="Times New Roman" w:hAnsi="Verdana"/>
          <w:color w:val="000000"/>
          <w:sz w:val="18"/>
          <w:szCs w:val="18"/>
          <w:lang w:eastAsia="ru-RU"/>
        </w:rPr>
        <w:br/>
      </w:r>
      <w:r w:rsidR="00B36E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Мал</w:t>
      </w:r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36E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Деталі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ідлог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промислових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будівель</w:t>
      </w:r>
      <w:proofErr w:type="spellEnd"/>
      <w:r w:rsidRPr="00FA67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деформаційні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шви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підлог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грунті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 - те ж, на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перекритті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- приямки, г - лотки, д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трапи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 - в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зоні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залізничних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колій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FA67F7" w:rsidRDefault="00FA67F7" w:rsidP="00FA6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сталеві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куточки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2 - зазор,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заповнений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волокнистим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матеріалом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3 -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сталевий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компенсатор, 4 -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міжповерхове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перекриття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5 - приямок, 6 - анкер, 7 -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знімна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плита, 8 -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лотка, 9 -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тришарова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гідроізоляція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10 -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чавунна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чаша трапа, 11 -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водовідвідна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труба, 12 -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решітка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13 -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ісок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14 -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збірна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плита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статі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15 - головка рейки, 16 -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жолобок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реборди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колеса, 17 -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розбираються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елементи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ідлоги</w:t>
      </w:r>
      <w:proofErr w:type="spellEnd"/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18 </w:t>
      </w:r>
      <w:r w:rsidR="00B36E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FA6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шпала</w:t>
      </w:r>
    </w:p>
    <w:p w:rsidR="00B36E0D" w:rsidRPr="00FA67F7" w:rsidRDefault="00B36E0D" w:rsidP="00FA6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E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Прямокутні</w:t>
      </w:r>
      <w:proofErr w:type="spellEnd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канали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або</w:t>
      </w:r>
      <w:proofErr w:type="spellEnd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приямки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в) -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поглиблення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конструкції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Зверху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закривають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знімними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залізобетонними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сталевими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плитами,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спираються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полиці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куточків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Анкери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 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смугової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забиті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бетонну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надійно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закріплюють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куточки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обрамляють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приямок 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Лотки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г) -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поглиблення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34F1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534F1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ідлоги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стоку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рідини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Покриття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літаків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ійких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стікаючої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рідини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лотках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влаштовувати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D219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Трапи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д) -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поглиблення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зниженій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закриті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гратами,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лежить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покриття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Трапи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стоку води і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хімічно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нейтральних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ідин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чавуну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для стоку кислот і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лугів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керамічних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труб.</w:t>
      </w: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зонах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кранових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залізничних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шляхів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</w:t>
      </w:r>
      <w:r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е) головки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рейок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підлоги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проходу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реборди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виступу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колеса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залишають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колії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прирейкові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жолобки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випадок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ремонту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залізничних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колій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примикають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рейок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збірних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плит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штучних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7F7" w:rsidRPr="00FA67F7" w:rsidRDefault="00B36E0D" w:rsidP="00FA67F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влаштуванні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ідлог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місцях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сполучення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деформаційних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приямків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трапів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правильність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пристрою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бетонної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надійність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рівень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оздоблюють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сталевих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куточків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Тільки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після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приступають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підлог</w:t>
      </w:r>
      <w:proofErr w:type="spellEnd"/>
      <w:r w:rsidR="00FA67F7" w:rsidRPr="00FA6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67F7" w:rsidRDefault="00FA67F7" w:rsidP="00FA67F7">
      <w:pPr>
        <w:spacing w:after="0"/>
        <w:rPr>
          <w:rFonts w:asciiTheme="minorHAnsi" w:eastAsiaTheme="minorHAnsi" w:hAnsiTheme="minorHAnsi" w:cstheme="minorBidi"/>
          <w:lang w:val="uk-UA"/>
        </w:rPr>
      </w:pPr>
    </w:p>
    <w:p w:rsidR="00534F1D" w:rsidRPr="00FA67F7" w:rsidRDefault="00534F1D" w:rsidP="00FA67F7">
      <w:pPr>
        <w:spacing w:after="0"/>
        <w:rPr>
          <w:rFonts w:asciiTheme="minorHAnsi" w:eastAsiaTheme="minorHAnsi" w:hAnsiTheme="minorHAnsi" w:cstheme="minorBidi"/>
          <w:lang w:val="uk-UA"/>
        </w:rPr>
      </w:pPr>
    </w:p>
    <w:p w:rsidR="00D219B8" w:rsidRDefault="00D219B8" w:rsidP="00D219B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№ 2</w:t>
      </w:r>
    </w:p>
    <w:p w:rsidR="00534F1D" w:rsidRDefault="00534F1D" w:rsidP="00D219B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A7CD4" w:rsidRDefault="00095CBF" w:rsidP="00FA67F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567A2">
        <w:rPr>
          <w:rFonts w:ascii="Times New Roman" w:hAnsi="Times New Roman"/>
          <w:sz w:val="28"/>
          <w:szCs w:val="28"/>
          <w:lang w:val="uk-UA"/>
        </w:rPr>
        <w:t>Дати відпові</w:t>
      </w:r>
      <w:r w:rsidR="00A567A2" w:rsidRPr="00A567A2">
        <w:rPr>
          <w:rFonts w:ascii="Times New Roman" w:hAnsi="Times New Roman"/>
          <w:sz w:val="28"/>
          <w:szCs w:val="28"/>
          <w:lang w:val="uk-UA"/>
        </w:rPr>
        <w:t>ді н</w:t>
      </w:r>
      <w:r w:rsidR="00534F1D">
        <w:rPr>
          <w:rFonts w:ascii="Times New Roman" w:hAnsi="Times New Roman"/>
          <w:sz w:val="28"/>
          <w:szCs w:val="28"/>
          <w:lang w:val="uk-UA"/>
        </w:rPr>
        <w:t>а</w:t>
      </w:r>
      <w:r w:rsidR="00A567A2" w:rsidRPr="00A567A2">
        <w:rPr>
          <w:rFonts w:ascii="Times New Roman" w:hAnsi="Times New Roman"/>
          <w:sz w:val="28"/>
          <w:szCs w:val="28"/>
          <w:lang w:val="uk-UA"/>
        </w:rPr>
        <w:t xml:space="preserve"> питання</w:t>
      </w:r>
      <w:r w:rsidR="00A567A2">
        <w:rPr>
          <w:rFonts w:ascii="Times New Roman" w:hAnsi="Times New Roman"/>
          <w:sz w:val="28"/>
          <w:szCs w:val="28"/>
          <w:lang w:val="uk-UA"/>
        </w:rPr>
        <w:t>:</w:t>
      </w:r>
    </w:p>
    <w:p w:rsidR="00A567A2" w:rsidRDefault="00A567A2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називається підлогою?</w:t>
      </w:r>
    </w:p>
    <w:p w:rsidR="00A567A2" w:rsidRDefault="00A567A2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Назвіть конструктивні елементи підлоги на перекритті.</w:t>
      </w:r>
    </w:p>
    <w:p w:rsidR="00A567A2" w:rsidRDefault="00A567A2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деформаційний шов?</w:t>
      </w:r>
    </w:p>
    <w:p w:rsidR="00A567A2" w:rsidRDefault="00A567A2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елементи закладають в деформаційні шви підлог влаштованих на перекритті?</w:t>
      </w:r>
    </w:p>
    <w:p w:rsidR="00A567A2" w:rsidRDefault="00A567A2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примикання?</w:t>
      </w:r>
    </w:p>
    <w:p w:rsidR="00A567A2" w:rsidRDefault="00A567A2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матеріалів виконують плінтус при настиланні плиткових підлог?</w:t>
      </w:r>
    </w:p>
    <w:p w:rsidR="00534F1D" w:rsidRDefault="00534F1D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ознаками керуються для прийняття конструктивних рішень?</w:t>
      </w:r>
    </w:p>
    <w:p w:rsidR="00534F1D" w:rsidRDefault="00534F1D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таке приямки?</w:t>
      </w:r>
    </w:p>
    <w:p w:rsidR="00534F1D" w:rsidRPr="00A567A2" w:rsidRDefault="00534F1D" w:rsidP="00A567A2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операції потрібно виконати перш ніж приступити до влаштування підлог різних конструкцій?</w:t>
      </w:r>
      <w:bookmarkStart w:id="0" w:name="_GoBack"/>
      <w:bookmarkEnd w:id="0"/>
    </w:p>
    <w:p w:rsidR="00FA7CD4" w:rsidRDefault="00FA7CD4" w:rsidP="00FA7C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34F1D" w:rsidRPr="00FA67F7" w:rsidRDefault="00534F1D" w:rsidP="00FA7CD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A7CD4" w:rsidRDefault="00FA7CD4" w:rsidP="00FA7CD4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Відповіді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надіслати на електронну пошту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 адресою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korolovitch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net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</w:p>
    <w:p w:rsidR="00FA7CD4" w:rsidRDefault="00FA7CD4" w:rsidP="00FA7CD4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схемою: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p w:rsidR="00DC0C12" w:rsidRPr="00FA7CD4" w:rsidRDefault="00DC0C12">
      <w:pPr>
        <w:rPr>
          <w:lang w:val="uk-UA"/>
        </w:rPr>
      </w:pPr>
    </w:p>
    <w:sectPr w:rsidR="00DC0C12" w:rsidRPr="00F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F03"/>
    <w:multiLevelType w:val="multilevel"/>
    <w:tmpl w:val="EB60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323BF"/>
    <w:multiLevelType w:val="multilevel"/>
    <w:tmpl w:val="190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02127"/>
    <w:multiLevelType w:val="hybridMultilevel"/>
    <w:tmpl w:val="224290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08"/>
    <w:rsid w:val="00095CBF"/>
    <w:rsid w:val="00534F1D"/>
    <w:rsid w:val="00A567A2"/>
    <w:rsid w:val="00B36E0D"/>
    <w:rsid w:val="00BE7508"/>
    <w:rsid w:val="00D219B8"/>
    <w:rsid w:val="00DC0C12"/>
    <w:rsid w:val="00FA67F7"/>
    <w:rsid w:val="00F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7C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F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7C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F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2020-03-22T15:31:00Z</dcterms:created>
  <dcterms:modified xsi:type="dcterms:W3CDTF">2020-03-24T11:44:00Z</dcterms:modified>
</cp:coreProperties>
</file>