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03" w:rsidRPr="00C9053C" w:rsidRDefault="00C9053C">
      <w:pPr>
        <w:rPr>
          <w:sz w:val="32"/>
          <w:szCs w:val="32"/>
          <w:lang w:val="uk-UA"/>
        </w:rPr>
      </w:pPr>
      <w:r w:rsidRPr="00C9053C">
        <w:rPr>
          <w:sz w:val="32"/>
          <w:szCs w:val="32"/>
          <w:lang w:val="uk-UA"/>
        </w:rPr>
        <w:t>Урок 79.</w:t>
      </w:r>
    </w:p>
    <w:p w:rsidR="00C9053C" w:rsidRDefault="00C9053C">
      <w:pPr>
        <w:rPr>
          <w:sz w:val="32"/>
          <w:szCs w:val="32"/>
          <w:lang w:val="uk-UA"/>
        </w:rPr>
      </w:pPr>
      <w:r w:rsidRPr="00C9053C">
        <w:rPr>
          <w:sz w:val="32"/>
          <w:szCs w:val="32"/>
          <w:lang w:val="uk-UA"/>
        </w:rPr>
        <w:t>Тема: Використання  стимуляторів  росту для  проростання насіння і ліпшого укорінення пагонів.</w:t>
      </w:r>
    </w:p>
    <w:p w:rsidR="00C9053C" w:rsidRDefault="00C9053C">
      <w:pP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  <w:lang w:val="uk-UA"/>
        </w:rPr>
      </w:pPr>
      <w:proofErr w:type="spellStart"/>
      <w:r w:rsidRPr="00C9053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  <w:lang w:val="uk-UA"/>
        </w:rPr>
        <w:t>Біорегулятори</w:t>
      </w:r>
      <w:proofErr w:type="spellEnd"/>
      <w:r w:rsidRPr="00C9053C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  <w:lang w:val="uk-UA"/>
        </w:rPr>
        <w:t xml:space="preserve"> та стимулятори росту використовуються для більш швидкого росту рослин, поліпшення обмінних процесів, підвищення стійкості кімнатних рослин до хвороб і несприятливого впливу зовнішнього середовища.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Нижче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дана характеристика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найбільш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поширених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препаратів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також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правила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їх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використання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. У будь-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якому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випадку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використовуючи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кращі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стимулятори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росту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рослин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необхідно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дотримуватися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запропонованої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виробником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інструкції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Деякі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препаратів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нешкідливі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людини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робот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іншими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слід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бути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обережними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proofErr w:type="gram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ін</w:t>
      </w:r>
      <w:proofErr w:type="spellEnd"/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Регулятор росту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стимулятор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імунної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системи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Діюча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речовина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ібрасінолід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(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природний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фітогормон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що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відповідає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природний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розвиток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). 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регулює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захисні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функції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клітин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знижує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стрес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пересадки,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ідвищує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стійкість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захворювань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посухи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холоду та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інших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несприятливих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факторів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Обробка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насіння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підсилює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захисні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властивості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безпечний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тварин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людини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екологічно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нешкідливий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Використовують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малих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дозах,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оскільки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ефективний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концентраціях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близьких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природних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розчиняють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теплій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чистій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воді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отриманий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можна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використовувати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протягом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трьох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діб</w:t>
      </w:r>
      <w:proofErr w:type="spellEnd"/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Змішувати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іншими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препаратами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забороняється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Насіння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квіткових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культур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замочують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розрахунку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4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краплі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препарату на 100 мл води на 12-18 годин.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Бульбоцибулини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цибулини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черешки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замочують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на 24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години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цього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роблять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0,25 мг препарату на 2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літри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води.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розсаду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обприскують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добу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 пересадки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або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відразу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ісля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висадки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концентрація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препарату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обприскування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3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краплі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на 100 мл води.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Хворі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обприскують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кожні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7-10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днів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повного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одужання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цього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готують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7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крапель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на 200 мл води.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Дорослі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період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бутонізації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обприскують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3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краплі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на 100 мл води.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lastRenderedPageBreak/>
        <w:t>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ісля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обробки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його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вміст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підвищується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протягом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10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діб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потім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повністю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виводиться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Імуноцітофіт</w:t>
      </w:r>
      <w:proofErr w:type="spellEnd"/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Імуноцітофіт</w:t>
      </w:r>
      <w:proofErr w:type="spell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 xml:space="preserve"> - </w:t>
      </w: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стимулятор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захисних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реакцій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кімнатних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також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стимулятор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їхнього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росту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розвитку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Таблетки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блакитного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або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фіолетового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кольору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що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складаються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із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суміші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етилових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ефі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вищих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жирних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кислот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сечовини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Вони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стимулюють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іст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підвищують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стійкість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кімнатних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 хвороб.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Імунноцітофіт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попереджає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розвиток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фітофторозу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парші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різних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видів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чорної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ніжки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борошнистої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сірої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та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білої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гнилей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та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інших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захворювань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яким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піддаються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кімнатні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нешкідливий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людини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тварин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Готують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таким чином, одну таблетку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розчиняють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ложці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холодної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води,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помішуючи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протягом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20-30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хвилин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Поті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</w:t>
      </w:r>
      <w:proofErr w:type="spellEnd"/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отриману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суміш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додають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необхідну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кількість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води.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можна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застосовувати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разом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інсектицидами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але не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можна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застосовувати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одночасно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біопрепаратами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перманганатом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калію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Гетероакусін</w:t>
      </w:r>
      <w:proofErr w:type="spellEnd"/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Гетероакусін</w:t>
      </w:r>
      <w:proofErr w:type="spell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 xml:space="preserve"> -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це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калійна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сіль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стимулятор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коренеутворення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Препарат не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токсичний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але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має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неприємний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запах,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сприяє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утворенню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коріння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і "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діток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" 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цибулинних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Для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укорінення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живців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їх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замочують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наступної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концентрації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: 1 таблетка на 4-5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лі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тр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води.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Працювати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препаратом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краще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рукавичках.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Корневі</w:t>
      </w:r>
      <w:proofErr w:type="gram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н</w:t>
      </w:r>
      <w:proofErr w:type="spellEnd"/>
      <w:proofErr w:type="gramEnd"/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Корневін</w:t>
      </w:r>
      <w:proofErr w:type="spell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 xml:space="preserve"> - </w:t>
      </w: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стимулятор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коренеутворення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кімнатних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також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саджанці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дерев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чагарників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покращує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приживлюваність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розсади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при пересадках,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сприяє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кращому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виведенню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цибулин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стану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спокою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використовується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вигляді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порошку,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їм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присипають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кореневу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систему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живців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Корневін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використовують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для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поливу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також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замочування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цибулин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Циркон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lastRenderedPageBreak/>
        <w:t xml:space="preserve">Циркон - </w:t>
      </w: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стимулятор росту,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сприяє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коренеутворенню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цвітінню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і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ійкості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до хвороб. 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захищає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кімнатні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від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фітопатогенів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ізної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природи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(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грибів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та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бактерій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), а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також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володіє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противірусною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дією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активізує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процеси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синтезу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хлорофілу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Циркон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поліпшує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вкорінення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живців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стимулює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коренеутворення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При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спільному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використанні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гетероауксином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ідвищує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його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ефективність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Також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циркон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сприяє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більш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швидкому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цвітінню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кімнатних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Дозування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при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використанні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циркону,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таке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ж як і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іну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Гумат</w:t>
      </w:r>
      <w:proofErr w:type="spell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натрію</w:t>
      </w:r>
      <w:proofErr w:type="spellEnd"/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Гумат</w:t>
      </w:r>
      <w:proofErr w:type="spell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натрію</w:t>
      </w:r>
      <w:proofErr w:type="spellEnd"/>
      <w:r w:rsidRPr="00C9053C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 xml:space="preserve"> - </w:t>
      </w:r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регулятор росту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. Препарат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стимулює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біохімічні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процеси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рослинах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активізує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процес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фотосинтезу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вуглеводний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обмін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</w:t>
      </w:r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ідвищує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ступінь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використання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елементів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живлення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з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ґрунту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</w:t>
      </w:r>
    </w:p>
    <w:p w:rsidR="00C9053C" w:rsidRPr="00C9053C" w:rsidRDefault="00C9053C" w:rsidP="00C9053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гумату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натрію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готують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наступним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чином - 10 г препарату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розчинити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 3 л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гарячої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води і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дати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настоятися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протягом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10 годин.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Поті</w:t>
      </w:r>
      <w:proofErr w:type="gram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м</w:t>
      </w:r>
      <w:proofErr w:type="spellEnd"/>
      <w:proofErr w:type="gram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готують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чистий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розчин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,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додаючи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чисту</w:t>
      </w:r>
      <w:proofErr w:type="spellEnd"/>
      <w:r w:rsidRPr="00C9053C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 xml:space="preserve"> воду.</w:t>
      </w:r>
    </w:p>
    <w:p w:rsidR="00C9053C" w:rsidRPr="00C9053C" w:rsidRDefault="00C9053C" w:rsidP="00C9053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5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053C" w:rsidRDefault="00C9053C" w:rsidP="00C9053C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: </w:t>
      </w:r>
    </w:p>
    <w:p w:rsidR="00C9053C" w:rsidRDefault="00C9053C" w:rsidP="00C9053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sz w:val="36"/>
          <w:szCs w:val="36"/>
          <w:lang w:val="uk-UA"/>
        </w:rPr>
        <w:t>Львів.»Вища</w:t>
      </w:r>
      <w:proofErr w:type="spellEnd"/>
      <w:r>
        <w:rPr>
          <w:sz w:val="36"/>
          <w:szCs w:val="36"/>
          <w:lang w:val="uk-UA"/>
        </w:rPr>
        <w:t xml:space="preserve"> школа» 2007</w:t>
      </w:r>
    </w:p>
    <w:p w:rsidR="00C9053C" w:rsidRDefault="00C9053C" w:rsidP="00C9053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Жоголева</w:t>
      </w:r>
      <w:proofErr w:type="spellEnd"/>
      <w:r>
        <w:rPr>
          <w:sz w:val="36"/>
          <w:szCs w:val="36"/>
          <w:lang w:val="uk-UA"/>
        </w:rPr>
        <w:t xml:space="preserve"> В.Г. «Квіти». К. «Урожай» 2012</w:t>
      </w:r>
    </w:p>
    <w:p w:rsidR="00C9053C" w:rsidRPr="00C9053C" w:rsidRDefault="00C9053C">
      <w:pPr>
        <w:rPr>
          <w:sz w:val="32"/>
          <w:szCs w:val="32"/>
          <w:lang w:val="uk-UA"/>
        </w:rPr>
      </w:pPr>
      <w:bookmarkStart w:id="0" w:name="_GoBack"/>
      <w:bookmarkEnd w:id="0"/>
    </w:p>
    <w:sectPr w:rsidR="00C9053C" w:rsidRPr="00C9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C"/>
    <w:rsid w:val="00A32803"/>
    <w:rsid w:val="00C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3C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C9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3C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C9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68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929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051912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511F-618F-48D2-8B74-0F0FBAA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2020-03-17T18:15:00Z</dcterms:created>
  <dcterms:modified xsi:type="dcterms:W3CDTF">2020-03-17T18:19:00Z</dcterms:modified>
</cp:coreProperties>
</file>