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A" w:rsidRPr="0019481A" w:rsidRDefault="0019481A" w:rsidP="0019481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3300"/>
          <w:sz w:val="28"/>
          <w:szCs w:val="28"/>
          <w:lang w:val="uk-UA" w:eastAsia="ru-RU"/>
        </w:rPr>
      </w:pPr>
    </w:p>
    <w:p w:rsidR="0019481A" w:rsidRPr="0019481A" w:rsidRDefault="0019481A" w:rsidP="0019481A">
      <w:pPr>
        <w:widowControl w:val="0"/>
        <w:tabs>
          <w:tab w:val="left" w:pos="183"/>
        </w:tabs>
        <w:adjustRightInd w:val="0"/>
        <w:spacing w:after="0" w:line="240" w:lineRule="auto"/>
        <w:rPr>
          <w:rFonts w:ascii="Arial" w:eastAsia="Times New Roman" w:hAnsi="Arial" w:cs="Times New Roman"/>
          <w:b/>
          <w:color w:val="663300"/>
          <w:sz w:val="28"/>
          <w:szCs w:val="28"/>
          <w:lang w:val="uk-UA" w:eastAsia="ru-RU"/>
        </w:rPr>
      </w:pPr>
      <w:r>
        <w:rPr>
          <w:rFonts w:ascii="Arial" w:eastAsia="Times New Roman" w:hAnsi="Arial" w:cs="Times New Roman"/>
          <w:b/>
          <w:color w:val="663300"/>
          <w:sz w:val="28"/>
          <w:szCs w:val="28"/>
          <w:lang w:eastAsia="ru-RU"/>
        </w:rPr>
        <w:tab/>
      </w:r>
      <w:r>
        <w:rPr>
          <w:rFonts w:ascii="Arial" w:eastAsia="Times New Roman" w:hAnsi="Arial" w:cs="Times New Roman"/>
          <w:b/>
          <w:color w:val="663300"/>
          <w:sz w:val="28"/>
          <w:szCs w:val="28"/>
          <w:lang w:val="uk-UA" w:eastAsia="ru-RU"/>
        </w:rPr>
        <w:t>Дата:7.04.20.    Група:МГШМ-32.</w:t>
      </w:r>
    </w:p>
    <w:p w:rsidR="0019481A" w:rsidRDefault="0019481A" w:rsidP="0019481A">
      <w:pPr>
        <w:widowControl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b/>
          <w:color w:val="6633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663300"/>
          <w:sz w:val="28"/>
          <w:szCs w:val="28"/>
          <w:lang w:val="uk-UA" w:eastAsia="ru-RU"/>
        </w:rPr>
        <w:t xml:space="preserve"> 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ind w:right="-424"/>
        <w:rPr>
          <w:rFonts w:ascii="Times New Roman" w:eastAsia="Times New Roman" w:hAnsi="Times New Roman" w:cs="Times New Roman"/>
          <w:b/>
          <w:color w:val="6633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663300"/>
          <w:sz w:val="28"/>
          <w:szCs w:val="28"/>
          <w:lang w:val="uk-UA" w:eastAsia="ru-RU"/>
        </w:rPr>
        <w:t>Тема уроку</w:t>
      </w:r>
      <w:r w:rsidRPr="0019481A">
        <w:rPr>
          <w:rFonts w:ascii="Times New Roman" w:eastAsia="Times New Roman" w:hAnsi="Times New Roman" w:cs="Times New Roman"/>
          <w:b/>
          <w:color w:val="663300"/>
          <w:sz w:val="28"/>
          <w:szCs w:val="28"/>
          <w:lang w:val="uk-UA" w:eastAsia="ru-RU"/>
        </w:rPr>
        <w:t>.</w:t>
      </w:r>
      <w:r w:rsidRPr="0019481A">
        <w:rPr>
          <w:rFonts w:ascii="Times New Roman" w:eastAsia="Times New Roman" w:hAnsi="Times New Roman" w:cs="Times New Roman"/>
          <w:color w:val="663300"/>
          <w:sz w:val="28"/>
          <w:szCs w:val="28"/>
          <w:lang w:val="uk-UA" w:eastAsia="ru-RU"/>
        </w:rPr>
        <w:t xml:space="preserve"> </w:t>
      </w:r>
      <w:r w:rsidRPr="0019481A">
        <w:rPr>
          <w:rFonts w:ascii="Times New Roman" w:eastAsia="Times New Roman" w:hAnsi="Times New Roman" w:cs="Times New Roman"/>
          <w:b/>
          <w:color w:val="663300"/>
          <w:sz w:val="32"/>
          <w:szCs w:val="32"/>
          <w:lang w:val="uk-UA" w:eastAsia="ru-RU"/>
        </w:rPr>
        <w:t>Способи боротьба з низько летючими повітряними цілями.</w:t>
      </w:r>
    </w:p>
    <w:p w:rsidR="0019481A" w:rsidRPr="0019481A" w:rsidRDefault="0019481A" w:rsidP="0019481A">
      <w:pPr>
        <w:spacing w:after="0" w:line="240" w:lineRule="auto"/>
        <w:rPr>
          <w:rFonts w:ascii="Times New Roman" w:eastAsia="Times New Roman" w:hAnsi="Times New Roman" w:cs="Times New Roman"/>
          <w:b/>
          <w:color w:val="663300"/>
          <w:sz w:val="28"/>
          <w:szCs w:val="20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П</w:t>
      </w:r>
      <w:r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ід час вивчення даної теми треба ознайомитися з основними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поняття</w:t>
      </w:r>
      <w:r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ми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про 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en-US" w:eastAsia="ru-RU"/>
        </w:rPr>
        <w:t>c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пособи боротьба з низько летючими повітряними цілями. Провести тематичне оцінювання.</w:t>
      </w:r>
    </w:p>
    <w:p w:rsid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val="uk-UA" w:eastAsia="ru-RU"/>
        </w:rPr>
        <w:t>1.Способи боротьба з низько летючими повітряними цілями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Головною ударною силою військово-повітряних сил іноземних держав є тактична  авіація. Бойові якості літаків та вертольотів тактичної авіації надають їй можливість вирішувати різні завдання. Основна її задача – підтримка сухопутних військ при наступі та обороні шляхом нанесення вогневого ураження  наземному противнику на невеликих висотах.</w:t>
      </w:r>
    </w:p>
    <w:p w:rsid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Досвід бойових дій визначає, що механізовані  підрозділи здатні вогнем із штатної зброї успішно знищувати літаки і вертольоти противника. Для боротьби з літаками і вертольотами противника треба знати їх бойові характеристики, 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опізнавальні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знаки та тактику дій, а також правила стрільби по повітряних цілях. Бойову характеристику і тактику дій було викладено у розділі 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„Бойова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характеристика техніки та авіації іноземних 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армій”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, отже залишилось ознайомитися із застосуванням стрілецької зброї для боротьби з авіацією противника.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0.75pt;width:163.65pt;height:108pt;z-index:251658240;mso-wrap-style:none;mso-position-horizontal:left" stroked="f">
            <v:textbox style="mso-next-textbox:#_x0000_s1026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19481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481A" w:rsidRDefault="0019481A">
                        <w:pPr>
                          <w:jc w:val="center"/>
                          <w:rPr>
                            <w:color w:val="6633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481A" w:rsidRDefault="0019481A" w:rsidP="0019481A"/>
              </w:txbxContent>
            </v:textbox>
            <w10:wrap type="square"/>
          </v:shape>
        </w:pict>
      </w:r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val="uk-UA" w:eastAsia="ru-RU"/>
        </w:rPr>
        <w:t>2.Опізнавальні знаки літаків іноземних армій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Відрізнити державну належність літаків та вертольотів надають можливість 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опізнавальні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знаки  (позначення). Вони мають вигляд геометричних фігур (кіл, квадратів, ліній, зірок та хрестів). 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Опізнавальні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знаки наносяться на крила, бойову поверхню фюзеляжу т</w:t>
      </w:r>
      <w:r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а вертикальне </w:t>
      </w:r>
      <w:proofErr w:type="spellStart"/>
      <w:r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опірення</w:t>
      </w:r>
      <w:proofErr w:type="spellEnd"/>
      <w:r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val="uk-UA" w:eastAsia="ru-RU"/>
        </w:rPr>
        <w:t>3.</w:t>
      </w:r>
      <w:proofErr w:type="spellStart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>Застосування</w:t>
      </w:r>
      <w:proofErr w:type="spellEnd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 xml:space="preserve"> </w:t>
      </w:r>
      <w:proofErr w:type="spellStart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>стрілецької</w:t>
      </w:r>
      <w:proofErr w:type="spellEnd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 xml:space="preserve"> </w:t>
      </w:r>
      <w:proofErr w:type="spellStart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>зброї</w:t>
      </w:r>
      <w:proofErr w:type="spellEnd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 xml:space="preserve"> для </w:t>
      </w:r>
      <w:proofErr w:type="spellStart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>боротьби</w:t>
      </w:r>
      <w:proofErr w:type="spellEnd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 xml:space="preserve"> </w:t>
      </w:r>
      <w:proofErr w:type="spellStart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>з</w:t>
      </w:r>
      <w:proofErr w:type="spellEnd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 xml:space="preserve">  </w:t>
      </w:r>
      <w:proofErr w:type="spellStart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>літаками</w:t>
      </w:r>
      <w:proofErr w:type="spellEnd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 xml:space="preserve"> та </w:t>
      </w:r>
      <w:proofErr w:type="spellStart"/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>вертольотами</w:t>
      </w:r>
      <w:proofErr w:type="spellEnd"/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Для боротьби з літаками та вертольотами противника разом із зенітними засобами  застосовується і стрілецька зброя. Найбільш ймовірна дальність відкриття вогню по літаках на висоті не більше 400 м дорівнює 500- 600 м . Приціл у всіх випадках ставлять „5” або „П”. Стрільба ведеться двома способами – загороджувальни</w:t>
      </w:r>
      <w:r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м та супроводжувальним.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pict>
          <v:shape id="_x0000_s1027" type="#_x0000_t202" style="position:absolute;margin-left:0;margin-top:15.35pt;width:234pt;height:267.55pt;z-index:-251658240;mso-position-horizontal:left" wrapcoords="-67 0 -67 21554 21600 21554 21600 0 -67 0" stroked="f">
            <v:textbox style="mso-next-textbox:#_x0000_s102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07"/>
                  </w:tblGrid>
                  <w:tr w:rsidR="0019481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9481A" w:rsidRDefault="0019481A" w:rsidP="0019481A">
                        <w:pPr>
                          <w:jc w:val="center"/>
                          <w:rPr>
                            <w:color w:val="6633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481A" w:rsidRDefault="0019481A" w:rsidP="0019481A"/>
              </w:txbxContent>
            </v:textbox>
            <w10:wrap type="square"/>
          </v:shape>
        </w:pic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Загороджувальний спосіб стрільби застосовується по цілях, швидкість 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lastRenderedPageBreak/>
        <w:t xml:space="preserve">польоту яких перевищує 150 м/с. При цій швидкості величина випередження досягає декілька десятків корпусів літака, визначити його 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зорово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дуже важко. Сутність загороджувального вогню у тому, що попереду  за курсом руху літака завчасно утворюють зону загороджувального вогню, з таким рахунком, щоб забезпечити пересікання трас куль із ціллю. Для відкриття вогню зброя спрямовується вгору у точку на 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передбачаємому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шляху руху цілі. Вогонь відкривається, коли до цілі буде 800 – 900 м. При цьому зброя утримується в одному положенні до виходу цілі із зони загороджувального вогню. Якщо видно траси своїх куль поблизу цілі, то не закінчуючи стрільбу, переносять зброю у бік цілі до зіткнення з нею трас куль.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pict>
          <v:shape id="_x0000_s1028" type="#_x0000_t202" style="position:absolute;margin-left:0;margin-top:91.15pt;width:189pt;height:336pt;z-index:-251658240;mso-position-horizontal:left" wrapcoords="-75 0 -75 21556 21600 21556 21600 0 -75 0" stroked="f">
            <v:textbox style="mso-next-textbox:#_x0000_s1028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07"/>
                  </w:tblGrid>
                  <w:tr w:rsidR="0019481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9481A" w:rsidRDefault="0019481A">
                        <w:pPr>
                          <w:jc w:val="center"/>
                          <w:rPr>
                            <w:color w:val="663300"/>
                          </w:rPr>
                        </w:pPr>
                      </w:p>
                      <w:p w:rsidR="0019481A" w:rsidRDefault="0019481A" w:rsidP="0019481A">
                        <w:pPr>
                          <w:jc w:val="center"/>
                          <w:rPr>
                            <w:color w:val="6633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481A" w:rsidRDefault="0019481A" w:rsidP="0019481A"/>
              </w:txbxContent>
            </v:textbox>
            <w10:wrap type="square"/>
          </v:shape>
        </w:pic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Супроводжувальний спосіб стрільби застосовується по повільно 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летячих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повітряних цілям (вертольотах,  транспортним літаках, парашутистах). Сутність його полягає у тому, що стрільці-автоматники (кулеметники), переміщуючи зброю, безперервно утримують лінію  при прицілюванні попереду цілі за її курсом на величину розрахованого  випередження та роблять довгу чергу у момент найбільш точної наводки зброї.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Величина випередження при фланговому русі цілі визначається за формулою: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en-US" w:eastAsia="ru-RU"/>
        </w:rPr>
        <w:t>S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= 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en-US" w:eastAsia="ru-RU"/>
        </w:rPr>
        <w:t>V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vertAlign w:val="subscript"/>
          <w:lang w:val="uk-UA" w:eastAsia="ru-RU"/>
        </w:rPr>
        <w:t>ц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* </w:t>
      </w:r>
      <w:proofErr w:type="gram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en-US" w:eastAsia="ru-RU"/>
        </w:rPr>
        <w:t>t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,</w:t>
      </w:r>
      <w:proofErr w:type="gram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де 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en-US" w:eastAsia="ru-RU"/>
        </w:rPr>
        <w:t>V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vertAlign w:val="subscript"/>
          <w:lang w:val="uk-UA" w:eastAsia="ru-RU"/>
        </w:rPr>
        <w:t>ц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– швидкість польоту цілі (м/с)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en-US" w:eastAsia="ru-RU"/>
        </w:rPr>
        <w:t>T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– </w:t>
      </w:r>
      <w:proofErr w:type="gram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час</w:t>
      </w:r>
      <w:proofErr w:type="gram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польоту кулі (с)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Практичне випередження визначають 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зорово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. На відстані до 500 м воно дорівнює 60 – 80 м (п’ять – сім корпусів цілі) стрільбу по повітряних цілях ведуть лежачи, з  коліна стоячи, а також при веденні бою в обороні – із окопу.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Вогонь відкривається самостійно або за  командами командира відділення: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„По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літаку, п’ять, сім фігур вперед, загороджувальним, довгими, ВОГОНЬ”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„По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парашутисту, п’ять, чотири фігури нижче, супроводжувальним довгим – ВОГОНЬ”.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Для ведення вогню по літакам та вертольотам солдат приймає положення лежач</w:t>
      </w:r>
      <w:r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и, з коліна або стоячи 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663300"/>
          <w:sz w:val="28"/>
          <w:szCs w:val="28"/>
          <w:lang w:eastAsia="ru-RU"/>
        </w:rPr>
      </w:pPr>
      <w:r w:rsidRPr="0019481A">
        <w:rPr>
          <w:rFonts w:ascii="Times New Roman" w:eastAsia="Times New Roman" w:hAnsi="Times New Roman" w:cs="Times New Roman"/>
          <w:b/>
          <w:color w:val="663300"/>
          <w:sz w:val="24"/>
          <w:szCs w:val="24"/>
          <w:lang w:val="uk-UA" w:eastAsia="ru-RU"/>
        </w:rPr>
        <w:t>Запитання для закріплення</w:t>
      </w:r>
      <w:r w:rsidRPr="0019481A">
        <w:rPr>
          <w:rFonts w:ascii="Times New Roman" w:eastAsia="Times New Roman" w:hAnsi="Times New Roman" w:cs="Times New Roman"/>
          <w:b/>
          <w:color w:val="663300"/>
          <w:sz w:val="28"/>
          <w:szCs w:val="28"/>
          <w:lang w:val="uk-UA" w:eastAsia="ru-RU"/>
        </w:rPr>
        <w:t>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663300"/>
          <w:sz w:val="28"/>
          <w:szCs w:val="28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1.Який спосіб пересування доцільно використовувати: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а) рухаючись в атаку;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б) для піднесення боєприпасів на передній край оборони механізованого відділення (взводу);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в) для захоплення солдата противника в полон;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2. Які  відмінності у обладнанні окопу для стрільби стоячи із АК – 74 та РКК – 74?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3. Якими способами можна отримати відомості про противника?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4. Які демаскуючи ознаки противника можна виявити, оглядаючи узлісся?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5. На що треба звернути увагу, оглядаючи: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а) річку та міст;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б) узлісся гаю;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в) околицю населеного пункту;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г) ділянку місцевості, де можливо розташовується противник;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6. Чим відрізняється вогнева позиція солдата від місця, що вибране для спостереження?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7. Які дії солдата, при наближенні танка: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lastRenderedPageBreak/>
        <w:t>а) на 100 м?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б) на 25 м?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в) на 2 м?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8. Під яким кутом треба кинути гранату, щоб вона уразила ціль на відстані </w:t>
      </w: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br/>
        <w:t>20 м?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9. Який час треба солдату, лежачи в окопі, починаючи з моменту кидка гранати?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10. Визначити величину випередження для стрільби по літаку, довжина якого 15 м, який летить зі швидкістю 720 км/</w:t>
      </w:r>
      <w:proofErr w:type="spellStart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год</w:t>
      </w:r>
      <w:proofErr w:type="spellEnd"/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 xml:space="preserve"> зліва направо на дальності 500 м. Подати команду відділенню на відкриття вогню по літаку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11. Визначити величину випередження для стрільби по парашутисту, який спускається на парашуті вниз зі швидкістю 6 м/с на дальності 500 м. подати команду на відкриття вогню по парашуту.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0"/>
          <w:szCs w:val="20"/>
          <w:lang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3300"/>
          <w:sz w:val="28"/>
          <w:szCs w:val="28"/>
          <w:lang w:val="uk-UA" w:eastAsia="ru-RU"/>
        </w:rPr>
      </w:pPr>
      <w:r w:rsidRPr="0019481A">
        <w:rPr>
          <w:rFonts w:ascii="Times New Roman" w:eastAsia="Times New Roman" w:hAnsi="Times New Roman" w:cs="Times New Roman"/>
          <w:b/>
          <w:color w:val="663300"/>
          <w:sz w:val="28"/>
          <w:szCs w:val="28"/>
          <w:lang w:val="uk-UA" w:eastAsia="ru-RU"/>
        </w:rPr>
        <w:t xml:space="preserve"> ДОМАШНЄ ЗАВДАННЯ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663300"/>
          <w:sz w:val="28"/>
          <w:szCs w:val="28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  <w:r w:rsidRPr="0019481A"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  <w:t>1.Самостійно відпрацювати та закріпити викладений матеріал.</w:t>
      </w: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</w:p>
    <w:p w:rsidR="0019481A" w:rsidRPr="0019481A" w:rsidRDefault="0019481A" w:rsidP="0019481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val="uk-UA" w:eastAsia="ru-RU"/>
        </w:rPr>
      </w:pPr>
    </w:p>
    <w:p w:rsidR="00A50FD8" w:rsidRPr="0019481A" w:rsidRDefault="000004F6">
      <w:pPr>
        <w:rPr>
          <w:lang w:val="uk-UA"/>
        </w:rPr>
      </w:pPr>
    </w:p>
    <w:sectPr w:rsidR="00A50FD8" w:rsidRPr="0019481A" w:rsidSect="00B9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9481A"/>
    <w:rsid w:val="000004F6"/>
    <w:rsid w:val="0019481A"/>
    <w:rsid w:val="00553631"/>
    <w:rsid w:val="00B950CB"/>
    <w:rsid w:val="00E25865"/>
    <w:rsid w:val="00E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2020-04-05T12:13:00Z</dcterms:created>
  <dcterms:modified xsi:type="dcterms:W3CDTF">2020-04-05T12:26:00Z</dcterms:modified>
</cp:coreProperties>
</file>