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64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14.04.2020</w:t>
      </w:r>
    </w:p>
    <w:p w:rsidR="00B93C1B" w:rsidRDefault="00B93C1B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703564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B93C1B" w:rsidRPr="00F0647F" w:rsidRDefault="00703564" w:rsidP="00B93C1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Вплив стресових факторів на організм людини. Вплив навколишнього середовища на здоров’я людини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703564" w:rsidRPr="00F0647F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703564" w:rsidRPr="00F0647F" w:rsidRDefault="00703564" w:rsidP="0070356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703564" w:rsidRPr="00226AF9" w:rsidRDefault="00703564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екологія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»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 25-26.</w:t>
      </w:r>
    </w:p>
    <w:p w:rsidR="00703564" w:rsidRPr="009E0613" w:rsidRDefault="00F409A8" w:rsidP="007035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/1244-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biologi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703564" w:rsidRDefault="00703564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 w:rsidRPr="009E0613">
        <w:rPr>
          <w:rFonts w:ascii="Times New Roman" w:hAnsi="Times New Roman" w:cs="Times New Roman"/>
          <w:sz w:val="28"/>
          <w:szCs w:val="28"/>
        </w:rPr>
        <w:t xml:space="preserve"> </w:t>
      </w:r>
      <w:r w:rsidR="002610F0">
        <w:rPr>
          <w:rFonts w:ascii="Times New Roman" w:hAnsi="Times New Roman" w:cs="Times New Roman"/>
          <w:sz w:val="28"/>
          <w:szCs w:val="28"/>
          <w:lang w:val="uk-UA"/>
        </w:rPr>
        <w:t>(обов’язково те, що виділено спеціальним фоном)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564" w:rsidRPr="00FA7E91" w:rsidRDefault="00703564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Заповнити </w:t>
      </w:r>
      <w:r w:rsidR="00B93C1B">
        <w:rPr>
          <w:rFonts w:ascii="Times New Roman" w:hAnsi="Times New Roman" w:cs="Times New Roman"/>
          <w:sz w:val="28"/>
          <w:szCs w:val="28"/>
          <w:lang w:val="uk-UA"/>
        </w:rPr>
        <w:t>таблицю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81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заповнення пропусків в таблиці перейдіть на ц</w:t>
      </w:r>
      <w:r w:rsidR="00B63FB9">
        <w:rPr>
          <w:rFonts w:ascii="Times New Roman" w:hAnsi="Times New Roman" w:cs="Times New Roman"/>
          <w:b/>
          <w:i/>
          <w:sz w:val="28"/>
          <w:szCs w:val="28"/>
          <w:lang w:val="uk-UA"/>
        </w:rPr>
        <w:t>им посиланням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hyperlink r:id="rId6" w:history="1">
        <w:r w:rsidR="00B63FB9" w:rsidRPr="00B63FB9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https://drive.google.com/drive/folders/1tFOe-m6t8M6QEPIkmA2aOXJ6kLK6EZmF</w:t>
        </w:r>
      </w:hyperlink>
      <w:r w:rsidR="002610F0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r w:rsidR="00B63FB9" w:rsidRPr="002610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E0BD7" w:rsidRDefault="00CE0BD7" w:rsidP="0070356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C1B" w:rsidRPr="00F409A8" w:rsidRDefault="00F409A8" w:rsidP="00F409A8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409A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FB9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неприємного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шкідливого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чинника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спортом -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значен</w:t>
      </w:r>
      <w:bookmarkStart w:id="0" w:name="_GoBack"/>
      <w:bookmarkEnd w:id="0"/>
      <w:r w:rsidRPr="00B63FB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стресовими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>?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умов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чинники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називають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стресовими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FB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стресорами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тривале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голодування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схуднення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пиття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самотність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впливи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довгоочікуване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>. Будь-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змушують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напружуватися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готуватися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стресорами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головною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відносної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сталості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складу й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- гомеостазу.</w:t>
      </w:r>
    </w:p>
    <w:p w:rsidR="00B63FB9" w:rsidRPr="00B63FB9" w:rsidRDefault="00B63FB9" w:rsidP="002610F0">
      <w:pPr>
        <w:shd w:val="clear" w:color="auto" w:fill="FBE4D5" w:themeFill="accent2" w:themeFillTint="33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FB9">
        <w:rPr>
          <w:rFonts w:ascii="Times New Roman" w:hAnsi="Times New Roman" w:cs="Times New Roman"/>
          <w:sz w:val="28"/>
          <w:szCs w:val="28"/>
        </w:rPr>
        <w:t xml:space="preserve">За природою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спека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холод,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впливи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вуглекислого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газу,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токсинів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солей),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паразитів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(страх,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). За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вихідним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екзогенними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) й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внутрішніми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ендогенними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>).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спеки 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впливи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незвичного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яких-небудь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перевершує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пристосувальні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>.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Отже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СТРЕСОВІ ЧИННИКИ,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або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стресори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, -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це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будь-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які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достатньо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сильні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впливи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подразників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середовища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що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можуть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спричинити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порушення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гомеостазу.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Який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механізм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впливу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стресових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чинників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гомеостазу,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є сигналом для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активації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в свою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активують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регуляторну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-систему. Вона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периферичної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ланок,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ендокринної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Центральними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відділами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кора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півкуль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гіпоталамус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гіпофіз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епіфіз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лімбічна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ретикулярна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формація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тимус, 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периферична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ланка представлена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наднирниками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нервовими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шляхами й рецепторами.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-система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неспецифічну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адаптивну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активації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стрес-системи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глюкокортикоїдів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катехоламінів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адреналін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норадреналін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стрес-гормонів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мобілізації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адаптивних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енергозабезпечення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соматотропіну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активує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анаболічні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в тканинах.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-система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мобілізує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специфічну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змінених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адаптаційні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(схема).</w:t>
      </w:r>
    </w:p>
    <w:p w:rsidR="00B63FB9" w:rsidRPr="00B63FB9" w:rsidRDefault="00B63FB9" w:rsidP="00B63FB9">
      <w:pPr>
        <w:shd w:val="clear" w:color="auto" w:fill="FBE4D5" w:themeFill="accent2" w:themeFillTint="33"/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Схема.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Вплив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стресорів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організм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</w:p>
    <w:p w:rsidR="00B63FB9" w:rsidRPr="00B63FB9" w:rsidRDefault="00B63FB9" w:rsidP="00B63FB9">
      <w:pPr>
        <w:shd w:val="clear" w:color="auto" w:fill="FBE4D5" w:themeFill="accent2" w:themeFillTint="33"/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63F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7725" cy="2571750"/>
            <wp:effectExtent l="0" t="0" r="9525" b="0"/>
            <wp:docPr id="4" name="Рисунок 4" descr="https://history.vn.ua/pidruchniki/sobol-biology-and-ecology-11-class-2019-standard-level/sobol-biology-and-ecology-11-class-2019-standard-level.files/imag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31" descr="https://history.vn.ua/pidruchniki/sobol-biology-and-ecology-11-class-2019-standard-level/sobol-biology-and-ecology-11-class-2019-standard-level.files/image1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FB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уявленнями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запускається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функціональна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систем та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специфічну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адаптивну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Стресовий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саморегулювальною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гомеостазу й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>.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</w:rPr>
        <w:t>Отже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стрес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-система -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це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сукупність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центральних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і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периферичних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структур,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що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забезпечують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адаптивну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відповідь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організму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на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порушення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гомеостазу.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Яке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біологічне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стрес-реакцій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FB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стрес-реакції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адаптаційного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синдрому.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B9">
        <w:rPr>
          <w:rFonts w:ascii="Times New Roman" w:hAnsi="Times New Roman" w:cs="Times New Roman"/>
          <w:sz w:val="28"/>
          <w:szCs w:val="28"/>
        </w:rPr>
        <w:lastRenderedPageBreak/>
        <w:t>Загальний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адаптаційний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синдром -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адаптивних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гомеостазу. Для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синдрому в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адаптивних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цитоплазмі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мобілізатора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Ca</w:t>
      </w:r>
      <w:r w:rsidRPr="00B63FB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B63FB9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активації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протеїнкіназ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активація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мембранних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збільшенню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ліпаз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фосфоліпаз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мобілізація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жирних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передача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адаптаційну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; 5)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активація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синтезу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нуклеїнових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кислот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органах.</w:t>
      </w:r>
    </w:p>
    <w:p w:rsidR="00B63FB9" w:rsidRPr="00B63FB9" w:rsidRDefault="00B63FB9" w:rsidP="00B63FB9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63F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1504950"/>
            <wp:effectExtent l="0" t="0" r="0" b="0"/>
            <wp:docPr id="3" name="Рисунок 3" descr="https://history.vn.ua/pidruchniki/sobol-biology-and-ecology-11-class-2019-standard-level/sobol-biology-and-ecology-11-class-2019-standard-level.files/imag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32" descr="https://history.vn.ua/pidruchniki/sobol-biology-and-ecology-11-class-2019-standard-level/sobol-biology-and-ecology-11-class-2019-standard-level.files/image1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9" w:rsidRPr="00B63FB9" w:rsidRDefault="00B63FB9" w:rsidP="00B63FB9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Іл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. 47.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Стадії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стресу</w:t>
      </w:r>
      <w:proofErr w:type="spellEnd"/>
      <w:r w:rsidRPr="00B63FB9">
        <w:rPr>
          <w:rFonts w:ascii="Times New Roman" w:hAnsi="Times New Roman" w:cs="Times New Roman"/>
          <w:b/>
          <w:bCs/>
          <w:sz w:val="28"/>
          <w:szCs w:val="28"/>
        </w:rPr>
        <w:t xml:space="preserve"> за Г. </w:t>
      </w:r>
      <w:proofErr w:type="spellStart"/>
      <w:r w:rsidRPr="00B63FB9">
        <w:rPr>
          <w:rFonts w:ascii="Times New Roman" w:hAnsi="Times New Roman" w:cs="Times New Roman"/>
          <w:b/>
          <w:bCs/>
          <w:sz w:val="28"/>
          <w:szCs w:val="28"/>
        </w:rPr>
        <w:t>Сельє</w:t>
      </w:r>
      <w:proofErr w:type="spellEnd"/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Адаптаційний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в три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аларм-реакція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короткочасна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негайну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мобілізацію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частота і сила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підвищуються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розширюються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бронхи,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звужуються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кровоносні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довгострокова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відновленням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порушеного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гомеостазу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а й до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перехресна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Синтезуються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еритроцити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потреб 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FB9">
        <w:rPr>
          <w:rFonts w:ascii="Times New Roman" w:hAnsi="Times New Roman" w:cs="Times New Roman"/>
          <w:sz w:val="28"/>
          <w:szCs w:val="28"/>
        </w:rPr>
        <w:t>для синтезу</w:t>
      </w:r>
      <w:proofErr w:type="gram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органах,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вичерпання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резервних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мобілізуючого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корисного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еустресу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шкідливий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виснажувальний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дистрес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Дистреси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тріадою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розростання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кори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надниркових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тимусу; 3)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крововиливів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слизовій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оболонці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травного каналу (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47). Як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стверджував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Ганс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>, «...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будь-яку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конкретну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хворобу,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хвороб».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стрес-системи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гомеостазу.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сила й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стресора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помірними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Надмірний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стресорів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адаптивних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пошкоджень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тканин.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Пошкоджувальними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ефектами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стрес-</w:t>
      </w:r>
      <w:r w:rsidRPr="00B63FB9">
        <w:rPr>
          <w:rFonts w:ascii="Times New Roman" w:hAnsi="Times New Roman" w:cs="Times New Roman"/>
          <w:sz w:val="28"/>
          <w:szCs w:val="28"/>
        </w:rPr>
        <w:lastRenderedPageBreak/>
        <w:t>реакції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бути: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Са</w:t>
      </w:r>
      <w:r w:rsidRPr="00B63FB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B63FB9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жирними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кислотами,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клітинних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мембран,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нерегульованого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клітинного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 xml:space="preserve"> росту та </w:t>
      </w:r>
      <w:proofErr w:type="spellStart"/>
      <w:r w:rsidRPr="00B63FB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63FB9">
        <w:rPr>
          <w:rFonts w:ascii="Times New Roman" w:hAnsi="Times New Roman" w:cs="Times New Roman"/>
          <w:sz w:val="28"/>
          <w:szCs w:val="28"/>
        </w:rPr>
        <w:t>.</w:t>
      </w:r>
    </w:p>
    <w:p w:rsidR="00B63FB9" w:rsidRPr="00B63FB9" w:rsidRDefault="00B63FB9" w:rsidP="00B63F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</w:rPr>
        <w:t>Отже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позитивна роль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стрес-реакцій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полягає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в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активізації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пристосувальних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захисних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механізмів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і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підвищенні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опірності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організму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щодо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впливу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стресорів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, а негативна є основою для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розвитку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захворювань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за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умови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сильного й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тривалого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впливу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стресорів</w:t>
      </w:r>
      <w:proofErr w:type="spellEnd"/>
      <w:r w:rsidRPr="00B63FB9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.</w:t>
      </w:r>
    </w:p>
    <w:p w:rsidR="00B63FB9" w:rsidRDefault="002610F0" w:rsidP="002610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93C1B" w:rsidRDefault="00B93C1B" w:rsidP="00B93C1B">
      <w:pPr>
        <w:spacing w:after="0"/>
        <w:ind w:left="-567" w:firstLine="425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 w:rsidRPr="00B93C1B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lastRenderedPageBreak/>
        <w:t>Самостійна робота з таблицею</w:t>
      </w:r>
    </w:p>
    <w:p w:rsidR="002610F0" w:rsidRPr="00B93C1B" w:rsidRDefault="002610F0" w:rsidP="00B93C1B">
      <w:pPr>
        <w:spacing w:after="0"/>
        <w:ind w:left="-567" w:firstLine="425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B93C1B" w:rsidRPr="00B93C1B" w:rsidRDefault="00B93C1B" w:rsidP="00B93C1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1B">
        <w:rPr>
          <w:rFonts w:ascii="Times New Roman" w:hAnsi="Times New Roman" w:cs="Times New Roman"/>
          <w:sz w:val="28"/>
          <w:szCs w:val="28"/>
          <w:lang w:val="uk-UA"/>
        </w:rPr>
        <w:t>Наведіть приклади впливу чинників навколишнього середовища на здоров'я людини. Заповніть таблицю</w:t>
      </w:r>
      <w:r w:rsidR="00261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0F0" w:rsidRPr="00C9181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610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заповнення пропусків в таблиці перейдіть на цим посиланням: </w:t>
      </w:r>
      <w:hyperlink r:id="rId9" w:history="1">
        <w:r w:rsidR="002610F0" w:rsidRPr="00B63FB9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https://drive.google.com/drive/folders/1tFOe-m6t8M6QEPIkmA2aOXJ6kLK6EZmF</w:t>
        </w:r>
      </w:hyperlink>
      <w:r w:rsidR="002610F0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r w:rsidR="002610F0" w:rsidRPr="002610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93C1B">
        <w:rPr>
          <w:rFonts w:ascii="Times New Roman" w:hAnsi="Times New Roman" w:cs="Times New Roman"/>
          <w:sz w:val="28"/>
          <w:szCs w:val="28"/>
          <w:lang w:val="uk-UA"/>
        </w:rPr>
        <w:t xml:space="preserve"> і сформулюйте висновок про синергічний вплив довкілля на стан фізичного, психічного й соціального благополуччя людини.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5206"/>
        <w:gridCol w:w="2619"/>
      </w:tblGrid>
      <w:tr w:rsidR="00B93C1B" w:rsidRPr="00B93C1B" w:rsidTr="00B93C1B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Середовище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Чинники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Приклади</w:t>
            </w:r>
            <w:proofErr w:type="spellEnd"/>
            <w:r w:rsidRPr="00B9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впливу</w:t>
            </w:r>
            <w:proofErr w:type="spellEnd"/>
          </w:p>
        </w:tc>
      </w:tr>
      <w:tr w:rsidR="00B93C1B" w:rsidRPr="00B93C1B" w:rsidTr="00B93C1B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Абіотичне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Космічні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1B" w:rsidRPr="00B93C1B" w:rsidTr="00B93C1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Геофізичні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1B" w:rsidRPr="00B93C1B" w:rsidTr="00B93C1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Кліматичні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1B" w:rsidRPr="00B93C1B" w:rsidTr="00B93C1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Едафічні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1B" w:rsidRPr="00B93C1B" w:rsidTr="00B93C1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Гідрологічні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1B" w:rsidRPr="00B93C1B" w:rsidTr="00B93C1B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Біотичне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Внутрішньовидові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1B" w:rsidRPr="00B93C1B" w:rsidTr="00B93C1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Міжвидові</w:t>
            </w:r>
            <w:proofErr w:type="spellEnd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симбіотичні</w:t>
            </w:r>
            <w:proofErr w:type="spellEnd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антибіотичні</w:t>
            </w:r>
            <w:proofErr w:type="spellEnd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1B" w:rsidRPr="00B93C1B" w:rsidTr="00B93C1B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Антропічне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1B" w:rsidRPr="00B93C1B" w:rsidTr="00B93C1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Природно-</w:t>
            </w: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антропогенні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1B" w:rsidRPr="00B93C1B" w:rsidTr="00B93C1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1B">
              <w:rPr>
                <w:rFonts w:ascii="Times New Roman" w:hAnsi="Times New Roman" w:cs="Times New Roman"/>
                <w:sz w:val="28"/>
                <w:szCs w:val="28"/>
              </w:rPr>
              <w:t>Антропогенні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93C1B" w:rsidRPr="00703564" w:rsidRDefault="00B93C1B" w:rsidP="0070356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3C1B" w:rsidRPr="0070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64"/>
    <w:rsid w:val="002610F0"/>
    <w:rsid w:val="00703564"/>
    <w:rsid w:val="00730FDA"/>
    <w:rsid w:val="00B63FB9"/>
    <w:rsid w:val="00B93C1B"/>
    <w:rsid w:val="00CE0BD7"/>
    <w:rsid w:val="00F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FBE7"/>
  <w15:chartTrackingRefBased/>
  <w15:docId w15:val="{5933D10E-987A-447C-A622-9C7E23DC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56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6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tFOe-m6t8M6QEPIkmA2aOXJ6kLK6EZm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druchnyk.com.ua/1244-biologi-11-klas-sobo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tFOe-m6t8M6QEPIkmA2aOXJ6kLK6EZ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2020-04-12T17:18:00Z</dcterms:created>
  <dcterms:modified xsi:type="dcterms:W3CDTF">2020-04-13T19:58:00Z</dcterms:modified>
</cp:coreProperties>
</file>