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1" w:rsidRDefault="00395AB1" w:rsidP="00395AB1">
      <w:pPr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>14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395AB1" w:rsidRDefault="00395AB1" w:rsidP="00395AB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Захист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рослин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395AB1" w:rsidRPr="0079439B" w:rsidRDefault="00395AB1" w:rsidP="00395AB1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395AB1" w:rsidRPr="000C3FA0" w:rsidRDefault="00395AB1" w:rsidP="00395AB1">
      <w:pPr>
        <w:shd w:val="clear" w:color="auto" w:fill="F5F5F5"/>
        <w:spacing w:after="300" w:line="600" w:lineRule="atLeast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Урок № 11 :</w:t>
      </w:r>
      <w:r w:rsidRPr="0079439B">
        <w:rPr>
          <w:b/>
          <w:bCs/>
          <w:color w:val="2D2D2D"/>
          <w:sz w:val="23"/>
          <w:szCs w:val="23"/>
          <w:lang w:val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З</w:t>
      </w:r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астосування</w:t>
      </w:r>
      <w:proofErr w:type="spellEnd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засобів</w:t>
      </w:r>
      <w:proofErr w:type="spellEnd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захисту</w:t>
      </w:r>
      <w:proofErr w:type="spellEnd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рослин</w:t>
      </w:r>
      <w:proofErr w:type="spellEnd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.</w:t>
      </w:r>
    </w:p>
    <w:p w:rsidR="000C3FA0" w:rsidRPr="00453BC1" w:rsidRDefault="000C3FA0" w:rsidP="000C3FA0">
      <w:pPr>
        <w:shd w:val="clear" w:color="auto" w:fill="F5F5F5"/>
        <w:spacing w:after="0" w:line="390" w:lineRule="atLeast"/>
        <w:rPr>
          <w:rFonts w:ascii="Helvetica" w:eastAsia="Times New Roman" w:hAnsi="Helvetica" w:cs="Helvetica"/>
          <w:color w:val="868686"/>
          <w:sz w:val="20"/>
          <w:szCs w:val="20"/>
          <w:lang w:val="uk-UA" w:eastAsia="ru-RU"/>
        </w:rPr>
      </w:pPr>
    </w:p>
    <w:p w:rsidR="000C3FA0" w:rsidRPr="00453BC1" w:rsidRDefault="000C3FA0" w:rsidP="000C3FA0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b/>
          <w:bCs/>
          <w:color w:val="4B83E5"/>
          <w:sz w:val="20"/>
          <w:szCs w:val="20"/>
          <w:lang w:val="uk-UA" w:eastAsia="ru-RU"/>
        </w:rPr>
      </w:pPr>
    </w:p>
    <w:p w:rsidR="000C3FA0" w:rsidRPr="000C3FA0" w:rsidRDefault="000C3FA0" w:rsidP="000C3F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</w:p>
    <w:p w:rsidR="000C3FA0" w:rsidRPr="000C3FA0" w:rsidRDefault="000C3FA0" w:rsidP="000C3F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B83E5"/>
          <w:sz w:val="21"/>
          <w:szCs w:val="21"/>
          <w:bdr w:val="none" w:sz="0" w:space="0" w:color="auto" w:frame="1"/>
          <w:lang w:val="uk-UA" w:eastAsia="uk-UA"/>
        </w:rPr>
        <w:drawing>
          <wp:inline distT="0" distB="0" distL="0" distR="0">
            <wp:extent cx="7618095" cy="5080635"/>
            <wp:effectExtent l="0" t="0" r="1905" b="5715"/>
            <wp:docPr id="5" name="Рисунок 5" descr="Обробка ЗЗР посівів ріпа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обка ЗЗР посівів ріпа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A0" w:rsidRPr="00453BC1" w:rsidRDefault="00453BC1" w:rsidP="00453BC1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 xml:space="preserve">Фото: </w:t>
      </w:r>
      <w:proofErr w:type="spellStart"/>
      <w:r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>SuperAgr</w:t>
      </w:r>
      <w:proofErr w:type="spellEnd"/>
      <w:r w:rsidRPr="00453BC1">
        <w:rPr>
          <w:rFonts w:ascii="Helvetica" w:eastAsia="Times New Roman" w:hAnsi="Helvetica" w:cs="Helvetica"/>
          <w:color w:val="222222"/>
          <w:sz w:val="30"/>
          <w:szCs w:val="30"/>
          <w:lang w:val="uk-UA" w:eastAsia="ru-RU"/>
        </w:rPr>
        <w:t xml:space="preserve"> </w:t>
      </w:r>
    </w:p>
    <w:p w:rsidR="000C3FA0" w:rsidRPr="000C3FA0" w:rsidRDefault="000C3FA0" w:rsidP="000C3F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C3FA0" w:rsidRDefault="00453BC1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ЗАСТОСУВАННЯ  </w:t>
      </w:r>
      <w:r w:rsidR="000C3FA0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ХІМІЧНИХ   ЗАСОБІВ </w:t>
      </w:r>
      <w:r w:rsidR="00964EA4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ДЛЯ </w:t>
      </w:r>
      <w:r w:rsidR="000C3FA0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ЗАХИСТУ   РОСЛИН  ВІД  ХВОРОБ</w:t>
      </w:r>
    </w:p>
    <w:p w:rsidR="000C3FA0" w:rsidRPr="000C3FA0" w:rsidRDefault="00395AB1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З</w:t>
      </w:r>
      <w:r w:rsidR="000C3FA0" w:rsidRPr="00395AB1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асоби захисту рослин розподіляються на дві дуже різні категорії — пестициди й агрохімікати. Перші — це токсичні речовини, вони спрямовані знищувати все, що заважає рослині, — чи то бур’ян, чи шкідник, чи збудник хвороби. Агрохімікати це, навпаки, — речовини, які поліпшують </w:t>
      </w:r>
      <w:r w:rsidR="000C3FA0" w:rsidRPr="00395AB1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lastRenderedPageBreak/>
        <w:t xml:space="preserve">життя рослини (органічні, мінеральні й бактеріальні добрива, регулятори росту рослин та ін.).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Загалом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груп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цих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багато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але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найпоширеніші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C3FA0" w:rsidRPr="000C3FA0" w:rsidRDefault="000C3FA0" w:rsidP="000C3F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гербіциди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46%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поширення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</w:p>
    <w:p w:rsidR="000C3FA0" w:rsidRPr="000C3FA0" w:rsidRDefault="000C3FA0" w:rsidP="000C3F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фунгіциди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31%,</w:t>
      </w:r>
    </w:p>
    <w:p w:rsidR="000C3FA0" w:rsidRPr="000C3FA0" w:rsidRDefault="000C3FA0" w:rsidP="000C3F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протруйники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насіння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10%,</w:t>
      </w:r>
    </w:p>
    <w:p w:rsidR="000C3FA0" w:rsidRPr="000C3FA0" w:rsidRDefault="000C3FA0" w:rsidP="000C3F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інсектициди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9%,</w:t>
      </w:r>
    </w:p>
    <w:p w:rsidR="000C3FA0" w:rsidRPr="000C3FA0" w:rsidRDefault="000C3FA0" w:rsidP="000C3F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родентициди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десиканти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агрохімікати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тощо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 — 4%.</w:t>
      </w:r>
    </w:p>
    <w:p w:rsidR="000C3FA0" w:rsidRPr="000C3FA0" w:rsidRDefault="000C3FA0" w:rsidP="000C3FA0">
      <w:pPr>
        <w:shd w:val="clear" w:color="auto" w:fill="F5F5F5"/>
        <w:spacing w:after="0" w:line="390" w:lineRule="atLeast"/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</w:pPr>
    </w:p>
    <w:p w:rsidR="000C3FA0" w:rsidRPr="000C3FA0" w:rsidRDefault="000C3FA0" w:rsidP="000C3F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5E5E5E"/>
          <w:sz w:val="21"/>
          <w:szCs w:val="21"/>
          <w:lang w:eastAsia="ru-RU"/>
        </w:rPr>
      </w:pP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кожного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пестицидів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власні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механізми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шкодочинні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об’єкти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на які вони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спрямовані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Наприклад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гербіциди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залежно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від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іючої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чинять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бур’яни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C3FA0" w:rsidRPr="000C3FA0" w:rsidRDefault="000C3FA0" w:rsidP="000C3FA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викликають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інгібування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транспорту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електроні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фотосистемі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;</w:t>
      </w:r>
    </w:p>
    <w:p w:rsidR="000C3FA0" w:rsidRPr="000C3FA0" w:rsidRDefault="000C3FA0" w:rsidP="000C3FA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блокують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утворення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фосфолі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які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використовуються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при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створенні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нових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клітинних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оболонок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;</w:t>
      </w:r>
    </w:p>
    <w:p w:rsidR="000C3FA0" w:rsidRPr="000C3FA0" w:rsidRDefault="000C3FA0" w:rsidP="000C3FA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продукують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утворення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рослинах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абсцизової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кислоти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етилену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</w:pP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фунгіцидів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також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своя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C3FA0" w:rsidRPr="000C3FA0" w:rsidRDefault="000C3FA0" w:rsidP="000C3FA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сильно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гальмують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проростання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зооспорангій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вивільнення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проростання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зооспор;</w:t>
      </w:r>
    </w:p>
    <w:p w:rsidR="000C3FA0" w:rsidRPr="000C3FA0" w:rsidRDefault="000C3FA0" w:rsidP="000C3FA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блокують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біосинтез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ергостеролу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входить до складу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клітинних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інок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мембран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грибів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;</w:t>
      </w:r>
    </w:p>
    <w:p w:rsidR="000C3FA0" w:rsidRPr="000C3FA0" w:rsidRDefault="000C3FA0" w:rsidP="000C3FA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порушують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перерозподіл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актину,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відповідає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орієнтацію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переміщення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органел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клітини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Знов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-таки,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процеси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і вони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впливають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в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організмі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людини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відбуваються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іч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інсектициди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родентициди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C3FA0" w:rsidRPr="000C3FA0" w:rsidRDefault="000C3FA0" w:rsidP="000C3FA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викликають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надмірне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збудження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нервової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системи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ураження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рухових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центрів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шкідникі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;</w:t>
      </w:r>
    </w:p>
    <w:p w:rsidR="000C3FA0" w:rsidRPr="000C3FA0" w:rsidRDefault="000C3FA0" w:rsidP="000C3FA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блокують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проходження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імпульсу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мембранах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нервових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клітин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чим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порушуються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функції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нервової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системи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;</w:t>
      </w:r>
    </w:p>
    <w:p w:rsidR="000C3FA0" w:rsidRPr="000C3FA0" w:rsidRDefault="000C3FA0" w:rsidP="000C3FA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83E5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пригнічують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регенерацію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вітаміну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1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внаслідок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чого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порушується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нормальний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процес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зсідання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крові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(антикоагулянт)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395AB1" w:rsidP="000C3FA0">
      <w:pPr>
        <w:shd w:val="clear" w:color="auto" w:fill="F5F5F5"/>
        <w:spacing w:line="390" w:lineRule="atLeast"/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Д</w:t>
      </w:r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еякі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з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цих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речовин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викликають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надмірне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збудження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нервової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системи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 </w:t>
      </w:r>
      <w:proofErr w:type="gram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тих</w:t>
      </w:r>
      <w:proofErr w:type="gram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же комах, яка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також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є і в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людини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. Або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навпаки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блокують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проходження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імпульсу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і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тим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чи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іншим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чином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впливають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на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нервову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систему.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Деякі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родентициди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виступають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антикоагулянтами, й тут уже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ризик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gram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прямого</w:t>
      </w:r>
      <w:proofErr w:type="gram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шкідливого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впливу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на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здоров’я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людини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може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бути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досить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високим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.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Хоча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варто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зазначити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, що зараз практично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відійшли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від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дуже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агресив</w:t>
      </w: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них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діючих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речовин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val="uk-UA" w:eastAsia="ru-RU"/>
        </w:rPr>
        <w:t xml:space="preserve">Є </w:t>
      </w:r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4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класи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токсичності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: 1 —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найтоксичніший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, 4 —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найменш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токсичний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.  І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якщо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у 80-х роках в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Україні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ми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мали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приблизно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2,8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загальний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клас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небезпеки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, то зараз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він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3,1.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Наразі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безпечність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пестицидів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—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це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ключовий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напрмок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розвитку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, в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якому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рухаються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всі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компані</w:t>
      </w:r>
      <w:proofErr w:type="gramStart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ї-</w:t>
      </w:r>
      <w:proofErr w:type="gram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вироб</w:t>
      </w: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ники</w:t>
      </w:r>
      <w:proofErr w:type="spellEnd"/>
      <w:r w:rsidR="000C3FA0" w:rsidRPr="000C3FA0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  <w:lang w:eastAsia="ru-RU"/>
        </w:rPr>
        <w:t>.</w:t>
      </w:r>
    </w:p>
    <w:p w:rsidR="000C3FA0" w:rsidRPr="000C3FA0" w:rsidRDefault="00395AB1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lastRenderedPageBreak/>
        <w:t>С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ьогодні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найбільш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високий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ризик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де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може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відбутися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отруєння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застосування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приманок,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брикетів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родентицидами,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розкидання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отруєного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зерна. Але при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цьому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виробники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таких приманок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використовують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запобіжники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»,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наприклад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додають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дуже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пекучу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речовину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тож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навіть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випадково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людині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дитині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шматочок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брикета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потрапить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</w:t>
      </w:r>
      <w:proofErr w:type="gram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рота,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людина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інстинктивно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його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виплюне</w:t>
      </w:r>
      <w:proofErr w:type="spellEnd"/>
      <w:r w:rsidR="000C3FA0"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точки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зору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небезпеки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довкілля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перелічених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груп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пестицидів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по-своєму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певний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негативний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вплив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Серед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ризиків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забруднення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ґрунту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води,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атмосфери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;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загибель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флори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фауни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Будь-яка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діюча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розкладається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 правило,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через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хімічний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через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біологічний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процес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Тобто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наприклад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вступає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реакцію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певними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хімічними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сполуками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ґрунту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відбуваються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реакції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обміну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втрачає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свою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пестицидну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активність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Або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стає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їжею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бактерій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які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своїми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ферментами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розбивають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молекули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цієї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речовини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більш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др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ібні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ділянки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потім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поглинають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власного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організму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По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суті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персистентність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нездатність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вступати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хімічні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взаємодії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ж «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непридатність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» для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споживання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бактеріями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Виробники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сучасних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пестицидів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приділяють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зараз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велику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увагу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досл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ідженню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їхніх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продуктів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довкілля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правильному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поводженню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ними.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Зокрема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в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компанії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BASF 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рекомендаціях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каталозі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продукції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 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завжди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зазначено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що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важливо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захищати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водні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ресурси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безпечно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поводитися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відпрацьованою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тарою, правильно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утилізувати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її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уникати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застосування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пестицидів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незадовго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</w:t>
      </w:r>
      <w:proofErr w:type="gram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сильно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дощу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тощо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Третій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аспект у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шкодочинно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сті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—  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вплив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врожай</w:t>
      </w:r>
      <w:proofErr w:type="spellEnd"/>
      <w:r w:rsidRPr="000C3FA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C3FA0" w:rsidRPr="000C3FA0" w:rsidRDefault="000C3FA0" w:rsidP="000C3FA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B804AE" w:rsidRDefault="00B804AE"/>
    <w:sectPr w:rsidR="00B8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498"/>
    <w:multiLevelType w:val="multilevel"/>
    <w:tmpl w:val="DF2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95D18"/>
    <w:multiLevelType w:val="multilevel"/>
    <w:tmpl w:val="3BE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7765"/>
    <w:multiLevelType w:val="multilevel"/>
    <w:tmpl w:val="807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21C5E"/>
    <w:multiLevelType w:val="multilevel"/>
    <w:tmpl w:val="E96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A0"/>
    <w:rsid w:val="000C3FA0"/>
    <w:rsid w:val="00395AB1"/>
    <w:rsid w:val="00453BC1"/>
    <w:rsid w:val="00877CCE"/>
    <w:rsid w:val="00964EA4"/>
    <w:rsid w:val="00B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date">
    <w:name w:val="page__head__date"/>
    <w:basedOn w:val="a0"/>
    <w:rsid w:val="000C3FA0"/>
  </w:style>
  <w:style w:type="character" w:styleId="a3">
    <w:name w:val="Hyperlink"/>
    <w:basedOn w:val="a0"/>
    <w:uiPriority w:val="99"/>
    <w:semiHidden/>
    <w:unhideWhenUsed/>
    <w:rsid w:val="000C3F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date">
    <w:name w:val="page__head__date"/>
    <w:basedOn w:val="a0"/>
    <w:rsid w:val="000C3FA0"/>
  </w:style>
  <w:style w:type="character" w:styleId="a3">
    <w:name w:val="Hyperlink"/>
    <w:basedOn w:val="a0"/>
    <w:uiPriority w:val="99"/>
    <w:semiHidden/>
    <w:unhideWhenUsed/>
    <w:rsid w:val="000C3F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293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35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7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358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481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9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10378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8244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1405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1929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42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18406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641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11668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8228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48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421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4054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364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156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1338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agronom.com/media/materials/o-o-w/00/00/250/lemken_sirius8_33-1977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_Заместитель по УПР</cp:lastModifiedBy>
  <cp:revision>2</cp:revision>
  <dcterms:created xsi:type="dcterms:W3CDTF">2020-04-14T05:05:00Z</dcterms:created>
  <dcterms:modified xsi:type="dcterms:W3CDTF">2020-04-14T05:05:00Z</dcterms:modified>
</cp:coreProperties>
</file>