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5" w:rsidRPr="00D877E5" w:rsidRDefault="00D877E5" w:rsidP="00D877E5">
      <w:pPr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D877E5">
        <w:rPr>
          <w:rFonts w:ascii="Times New Roman" w:hAnsi="Times New Roman" w:cs="Times New Roman"/>
          <w:b/>
          <w:bCs/>
          <w:sz w:val="32"/>
          <w:szCs w:val="24"/>
          <w:lang w:val="uk-UA"/>
        </w:rPr>
        <w:t>Підсумкова контрольна робота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Виконайте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тестові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>1. Предметом трудового права</w:t>
      </w:r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є:</w:t>
      </w:r>
      <w:proofErr w:type="gram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зиск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плата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є сам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ідносини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є результат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2. Стан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трудової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працівника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веде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зміни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суттєвих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умов </w:t>
      </w:r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трудового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договору: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3. Для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>іком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16 до 18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років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установлюється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Нормальна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часу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Неповний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Скорочений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Ненормований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4. Вид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юридичної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полягає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обов’язку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працівника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відшкодувати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збиток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завданий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>ідприємству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установі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організації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результаті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невиконання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неналежного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трудових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обов’язків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встановленому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законом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розмірі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та порядку,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називається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Майновою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Матеріальною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Трудовою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іністративною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Позначте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структуру, яка не є органом з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колективних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трудових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спорі</w:t>
      </w:r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(КТС)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Примирна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арбітраж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посередництва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примирення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(НСПП)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6. Комплекс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економічних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психологічних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освітніх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медичних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інших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спрямованих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окремі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>іальні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індивідів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перебувають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складних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життєвих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обставинах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потребують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сторонньої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допомоги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з метою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поліпшення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їхньої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життєдіяльності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повернення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повноцінного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життя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реабілітація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Укажіть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вид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загальнообов’язкового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державного </w:t>
      </w:r>
      <w:proofErr w:type="spellStart"/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>іального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залежно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страхового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випадку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передбачено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законодавством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ваг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ітності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й пологам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Пенсійне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тимчасовою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втратою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витратами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зумовленими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народженням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похованням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пенсійні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виплати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здійснюються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рахунок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коштів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Пенсійного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фонду у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солідарній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системі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загальнообов’язкового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пенсійного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втратою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годувальника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віком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інвалідності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Довічна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подружжя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трудового</w:t>
      </w:r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договору,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встановлюються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угодою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, є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обов’язковими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житлом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Д Про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 роботу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зазначених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обов’язків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повинен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виконувати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власник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уповноважений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ним орган?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продуктивності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виробничу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дисципліну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Дбайливо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ставитися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Додержуватися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Поліпшувати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побуту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чесно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сумлінно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Установіть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відповідність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між</w:t>
      </w:r>
      <w:proofErr w:type="spellEnd"/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категоріями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тривалістю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щорічної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основної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відпустки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Неповнолітні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особи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Інваліди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групи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Керівні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науково-педагогічні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Промислово-виробничий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персонал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вугільної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металургійної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електроенергетичної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28 к/д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30 к/д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В 31 к/д</w:t>
      </w:r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Г 45 к/д</w:t>
      </w:r>
      <w:bookmarkStart w:id="0" w:name="_GoBack"/>
      <w:bookmarkEnd w:id="0"/>
    </w:p>
    <w:p w:rsidR="00D877E5" w:rsidRPr="00D877E5" w:rsidRDefault="00D877E5" w:rsidP="00D87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>Д 56 к/д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Установіть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відповідність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між</w:t>
      </w:r>
      <w:proofErr w:type="spellEnd"/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визначеннями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назвою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систем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заробітної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плати: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1 Сума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виділяється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плату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годин,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робітника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Заробіток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виконаний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вироблену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розцінками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обчисленими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установлених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тарифних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ставок і норм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виробітку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відрядна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звичайна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погодинна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акордна</w:t>
      </w:r>
      <w:proofErr w:type="spellEnd"/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Порівняйте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7E5" w:rsidRPr="00D877E5" w:rsidRDefault="00D877E5" w:rsidP="00D8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77E5">
        <w:rPr>
          <w:rFonts w:ascii="Times New Roman" w:hAnsi="Times New Roman" w:cs="Times New Roman"/>
          <w:sz w:val="24"/>
          <w:szCs w:val="24"/>
        </w:rPr>
        <w:t>Нормальна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часу -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скорочений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 -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неповний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77E5" w:rsidRPr="00D877E5" w:rsidRDefault="00D877E5" w:rsidP="00D8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Щорічна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відпустка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відпустка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D877E5" w:rsidRPr="00D877E5" w:rsidRDefault="00D877E5" w:rsidP="00D8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обмежена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кратна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матеріальна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D877E5" w:rsidRPr="00D877E5" w:rsidRDefault="00D877E5" w:rsidP="00D877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Солідарна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загальнообов’язкового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накопичувальна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загальнообов’язкового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Виправте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помилки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учня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учениці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самостійній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роботі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з трудового права.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1. Строк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на роботу,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виборним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профспілкової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локального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генеральна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галузева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інституціональна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угоди.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3. До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книжки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нагороди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Нічним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 з 22 до 7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Дисциплінарне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ним органом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виявленням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проступку, але не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рахуючи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тимчасовою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непрацездатністю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перебуванням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відпустці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Дисциплінарне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накладене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ісяця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проступку.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спори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примирними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комісіями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районними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міськими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) судами.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3890" cy="643890"/>
            <wp:effectExtent l="0" t="0" r="3810" b="3810"/>
            <wp:docPr id="1" name="Рисунок 1" descr="https://history.vn.ua/pidruchniki/filipenko-science-of-law-11-class-2019-profile-level/filipenko-science-of-law-11-class-2019-profile-level.files/imag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5" descr="https://history.vn.ua/pidruchniki/filipenko-science-of-law-11-class-2019-profile-level/filipenko-science-of-law-11-class-2019-profile-level.files/image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Перейдіть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за кодом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на Кодекс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законі</w:t>
      </w:r>
      <w:proofErr w:type="gram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працю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http://zakon.rada.gov.ua/laws/show/322-08#n439 і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розв’яжіть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юридичну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ситуацію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7E5">
        <w:rPr>
          <w:rFonts w:ascii="Times New Roman" w:hAnsi="Times New Roman" w:cs="Times New Roman"/>
          <w:b/>
          <w:bCs/>
          <w:sz w:val="24"/>
          <w:szCs w:val="24"/>
        </w:rPr>
        <w:t>Ситуація</w:t>
      </w:r>
      <w:proofErr w:type="spellEnd"/>
      <w:r w:rsidRPr="00D877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77E5">
        <w:rPr>
          <w:rFonts w:ascii="Times New Roman" w:hAnsi="Times New Roman" w:cs="Times New Roman"/>
          <w:sz w:val="24"/>
          <w:szCs w:val="24"/>
        </w:rPr>
        <w:t xml:space="preserve"> Директор закладу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працював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розкладом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шестиденного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зобов’язав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розважального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характеру (а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свята,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вечори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 дискотеки)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занять в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обґрунтоване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класні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погодилися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 наказом директора.</w:t>
      </w:r>
    </w:p>
    <w:p w:rsidR="00D877E5" w:rsidRPr="00D877E5" w:rsidRDefault="00D877E5" w:rsidP="00D87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Надайте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консультацію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робітникам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7E5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7E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877E5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7E5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D877E5">
        <w:rPr>
          <w:rFonts w:ascii="Times New Roman" w:hAnsi="Times New Roman" w:cs="Times New Roman"/>
          <w:sz w:val="24"/>
          <w:szCs w:val="24"/>
        </w:rPr>
        <w:t>.</w:t>
      </w:r>
    </w:p>
    <w:p w:rsidR="002C27FF" w:rsidRPr="00D877E5" w:rsidRDefault="00D877E5">
      <w:pPr>
        <w:rPr>
          <w:rFonts w:ascii="Times New Roman" w:hAnsi="Times New Roman" w:cs="Times New Roman"/>
          <w:sz w:val="24"/>
          <w:szCs w:val="24"/>
        </w:rPr>
      </w:pPr>
    </w:p>
    <w:sectPr w:rsidR="002C27FF" w:rsidRPr="00D877E5" w:rsidSect="00D87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704"/>
    <w:multiLevelType w:val="multilevel"/>
    <w:tmpl w:val="865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D8"/>
    <w:rsid w:val="00000AD0"/>
    <w:rsid w:val="002B03E8"/>
    <w:rsid w:val="00457054"/>
    <w:rsid w:val="00712A70"/>
    <w:rsid w:val="009A06D8"/>
    <w:rsid w:val="00CA6566"/>
    <w:rsid w:val="00D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5133</Characters>
  <Application>Microsoft Office Word</Application>
  <DocSecurity>0</DocSecurity>
  <Lines>42</Lines>
  <Paragraphs>12</Paragraphs>
  <ScaleCrop>false</ScaleCrop>
  <Company>UralSOFT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2020-04-12T16:40:00Z</dcterms:created>
  <dcterms:modified xsi:type="dcterms:W3CDTF">2020-04-12T16:44:00Z</dcterms:modified>
</cp:coreProperties>
</file>