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DC" w:rsidRPr="003906C4" w:rsidRDefault="00781ADC" w:rsidP="00781AD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06C4">
        <w:rPr>
          <w:rFonts w:ascii="Times New Roman" w:hAnsi="Times New Roman" w:cs="Times New Roman"/>
          <w:sz w:val="28"/>
          <w:szCs w:val="28"/>
          <w:lang w:val="uk-UA"/>
        </w:rPr>
        <w:t xml:space="preserve">Тема уроку: </w:t>
      </w:r>
      <w:r w:rsidRPr="003906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Функціонально-стилістичні особливості використання стійких </w:t>
      </w:r>
      <w:proofErr w:type="spellStart"/>
      <w:r w:rsidRPr="003906C4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мовних</w:t>
      </w:r>
      <w:proofErr w:type="spellEnd"/>
      <w:r w:rsidRPr="003906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зворотів.</w:t>
      </w:r>
    </w:p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ійких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мовних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зворотів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Обстановка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адресата,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 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визначальними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формул.</w:t>
      </w:r>
    </w:p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невербальному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усмішка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собою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увібрала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красу, порядок,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Успіх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залежить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низки правил: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переговорах;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манер,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етикету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візитна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господарче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моменту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роботу.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(про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посаду);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(про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зміщення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найму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листки з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відпусток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резюме, наказ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складу,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781ADC" w:rsidRPr="003906C4" w:rsidRDefault="00781ADC" w:rsidP="00781ADC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приклад,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вповноваженій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Класифікаційні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заяви як документа:</w:t>
      </w:r>
    </w:p>
    <w:p w:rsidR="00781ADC" w:rsidRPr="003906C4" w:rsidRDefault="00781ADC" w:rsidP="0078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     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формою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</w:t>
      </w:r>
      <w:proofErr w:type="spellEnd"/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 заяви з метою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правомірності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Усталена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</w:t>
      </w:r>
      <w:proofErr w:type="gram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ідовність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заяви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</w:p>
    <w:tbl>
      <w:tblPr>
        <w:tblW w:w="990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413"/>
        <w:gridCol w:w="3251"/>
      </w:tblGrid>
      <w:tr w:rsidR="00781ADC" w:rsidRPr="003906C4" w:rsidTr="002959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Адресат</w:t>
            </w:r>
          </w:p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Адресант</w:t>
            </w:r>
          </w:p>
        </w:tc>
      </w:tr>
      <w:tr w:rsidR="00781ADC" w:rsidRPr="003906C4" w:rsidTr="002959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3.        </w:t>
            </w:r>
            <w:proofErr w:type="spellStart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документа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1ADC" w:rsidRPr="003906C4" w:rsidTr="002959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Текст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1ADC" w:rsidRPr="003906C4" w:rsidTr="002959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5.      </w:t>
            </w:r>
            <w:proofErr w:type="spellStart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Вказівка</w:t>
            </w:r>
            <w:proofErr w:type="spellEnd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додатки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1ADC" w:rsidRPr="003906C4" w:rsidTr="002959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Дата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ADC" w:rsidRPr="003906C4" w:rsidRDefault="00781ADC" w:rsidP="0029591A">
            <w:pPr>
              <w:numPr>
                <w:ilvl w:val="1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</w:t>
            </w:r>
            <w:proofErr w:type="spellStart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Власноручний</w:t>
            </w:r>
            <w:proofErr w:type="spellEnd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  <w:proofErr w:type="spellEnd"/>
          </w:p>
        </w:tc>
      </w:tr>
    </w:tbl>
    <w:p w:rsidR="00781ADC" w:rsidRPr="003906C4" w:rsidRDefault="00781ADC" w:rsidP="0078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ізновидами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заява-зобов’язання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ідставою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-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приклад,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члена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Характерними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класифікаційними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ознаками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характеристики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 документа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формою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ідшивається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характеристики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особу,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Характеристика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пред’являється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переобрані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за конкурсом до НДІ,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Традиційна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</w:t>
      </w:r>
      <w:proofErr w:type="gram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ідовність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реквізитів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характеристики:</w:t>
      </w:r>
    </w:p>
    <w:p w:rsidR="00781ADC" w:rsidRPr="003906C4" w:rsidRDefault="00781ADC" w:rsidP="00781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документа.</w:t>
      </w:r>
    </w:p>
    <w:p w:rsidR="00781ADC" w:rsidRPr="003906C4" w:rsidRDefault="00781ADC" w:rsidP="00781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Заголовок: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Текст:</w:t>
      </w:r>
    </w:p>
    <w:p w:rsidR="00781ADC" w:rsidRPr="003906C4" w:rsidRDefault="00781ADC" w:rsidP="00781A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781ADC" w:rsidRPr="003906C4" w:rsidRDefault="00781ADC" w:rsidP="00781A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(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Дата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Особливість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мовного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характеристики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дієслівні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теперішнього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студента),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продовжуватиме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дієслівні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Автобіографія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Автобіографія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документа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хронологічній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абзац.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Обов’язковою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вимогою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дат: 18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1981 року,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1980 року.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довелось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причину, час,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колишнє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Класифікаційні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автобіографії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документа: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формою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81ADC" w:rsidRPr="003906C4" w:rsidRDefault="00781ADC" w:rsidP="00781A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набір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реквізитів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розміщуються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такій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послідовності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1ADC" w:rsidRPr="003906C4" w:rsidRDefault="00781ADC" w:rsidP="00781A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документа.</w:t>
      </w:r>
    </w:p>
    <w:p w:rsidR="00781ADC" w:rsidRPr="003906C4" w:rsidRDefault="00781ADC" w:rsidP="00781A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Текст:</w:t>
      </w:r>
    </w:p>
    <w:p w:rsidR="00781ADC" w:rsidRPr="003906C4" w:rsidRDefault="00781ADC" w:rsidP="00781A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довелось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81ADC" w:rsidRPr="003906C4" w:rsidRDefault="00781ADC" w:rsidP="00781A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(коротко,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посаду);</w:t>
      </w:r>
    </w:p>
    <w:p w:rsidR="00781ADC" w:rsidRPr="003906C4" w:rsidRDefault="00781ADC" w:rsidP="00781A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роботу;</w:t>
      </w:r>
    </w:p>
    <w:p w:rsidR="00781ADC" w:rsidRPr="003906C4" w:rsidRDefault="00781ADC" w:rsidP="00781A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дружина,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посада.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Дата.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Власноручний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 як документ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недавно почав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сферу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листуванні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 документ </w:t>
      </w:r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 —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особу.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біографічні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резюме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граничним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лаконізмом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влаштовуючись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себе те,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найнеобхідніше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як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Правильно, грамотно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резюме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запорука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Резюме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класифікаційні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документа: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формою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81ADC" w:rsidRPr="003906C4" w:rsidRDefault="00781ADC" w:rsidP="00781A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 </w:t>
      </w:r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резюме: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хронологічне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роками, і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роками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документа.</w:t>
      </w:r>
    </w:p>
    <w:p w:rsidR="00781ADC" w:rsidRPr="003906C4" w:rsidRDefault="00781ADC" w:rsidP="00781A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хронологічне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резюме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ADC" w:rsidRPr="003906C4" w:rsidRDefault="00781ADC" w:rsidP="00781A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 та номер телефону;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Мета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Нагороди та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Список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кар’єри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стан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функціональному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резюме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пунктами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хронологічного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складання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резюме: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грамотність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бездоганний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персоніфікація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резюме (при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резюме не повинен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(формат А4)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формація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графа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справа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резюме 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агенціях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правил: не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займенники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іменникам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кожного конкурсу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резюме.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виокремлюють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складу та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Наказ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</w:t>
      </w: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регламентує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нагороди,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основної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підсумуванні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планових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Класифікаційні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ознаки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наказу як документа:</w:t>
      </w:r>
    </w:p>
    <w:p w:rsidR="00781ADC" w:rsidRPr="003906C4" w:rsidRDefault="00781ADC" w:rsidP="00781A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   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складу/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формою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іями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C" w:rsidRPr="003906C4" w:rsidRDefault="00781ADC" w:rsidP="00781A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терміновий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81ADC" w:rsidRPr="003906C4" w:rsidRDefault="00781ADC" w:rsidP="00781AD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</w:t>
      </w:r>
      <w:proofErr w:type="gram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ідовність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розташування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реквізитів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особового</w:t>
      </w:r>
      <w:proofErr w:type="spellEnd"/>
      <w:r w:rsidRPr="0039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складу: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документа.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Дата.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Номер.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 Заголовок.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Констатуюча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  Посада, статус, ранг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</w:t>
      </w:r>
    </w:p>
    <w:p w:rsidR="00781ADC" w:rsidRPr="003906C4" w:rsidRDefault="00781ADC" w:rsidP="00781A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</w:t>
      </w:r>
      <w:proofErr w:type="spellStart"/>
      <w:proofErr w:type="gram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9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proofErr w:type="gramStart"/>
      <w:r w:rsidRPr="003906C4">
        <w:rPr>
          <w:color w:val="000000"/>
          <w:sz w:val="28"/>
          <w:szCs w:val="28"/>
        </w:rPr>
        <w:t>Логічні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елементи</w:t>
      </w:r>
      <w:proofErr w:type="spellEnd"/>
      <w:r w:rsidRPr="003906C4">
        <w:rPr>
          <w:color w:val="000000"/>
          <w:sz w:val="28"/>
          <w:szCs w:val="28"/>
        </w:rPr>
        <w:t xml:space="preserve"> тексту наказу </w:t>
      </w:r>
      <w:proofErr w:type="spellStart"/>
      <w:r w:rsidRPr="003906C4">
        <w:rPr>
          <w:color w:val="000000"/>
          <w:sz w:val="28"/>
          <w:szCs w:val="28"/>
        </w:rPr>
        <w:t>щодо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особового</w:t>
      </w:r>
      <w:proofErr w:type="spellEnd"/>
      <w:r w:rsidRPr="003906C4">
        <w:rPr>
          <w:color w:val="000000"/>
          <w:sz w:val="28"/>
          <w:szCs w:val="28"/>
        </w:rPr>
        <w:t xml:space="preserve"> складу </w:t>
      </w:r>
      <w:proofErr w:type="spellStart"/>
      <w:r w:rsidRPr="003906C4">
        <w:rPr>
          <w:color w:val="000000"/>
          <w:sz w:val="28"/>
          <w:szCs w:val="28"/>
        </w:rPr>
        <w:t>розташовуються</w:t>
      </w:r>
      <w:proofErr w:type="spellEnd"/>
      <w:r w:rsidRPr="003906C4">
        <w:rPr>
          <w:color w:val="000000"/>
          <w:sz w:val="28"/>
          <w:szCs w:val="28"/>
        </w:rPr>
        <w:t xml:space="preserve"> у </w:t>
      </w:r>
      <w:proofErr w:type="spellStart"/>
      <w:r w:rsidRPr="003906C4">
        <w:rPr>
          <w:color w:val="000000"/>
          <w:sz w:val="28"/>
          <w:szCs w:val="28"/>
        </w:rPr>
        <w:t>зворотному</w:t>
      </w:r>
      <w:proofErr w:type="spellEnd"/>
      <w:r w:rsidRPr="003906C4">
        <w:rPr>
          <w:color w:val="000000"/>
          <w:sz w:val="28"/>
          <w:szCs w:val="28"/>
        </w:rPr>
        <w:t xml:space="preserve"> порядку (1.</w:t>
      </w:r>
      <w:proofErr w:type="gram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Розпорядча</w:t>
      </w:r>
      <w:proofErr w:type="spellEnd"/>
      <w:r w:rsidRPr="003906C4">
        <w:rPr>
          <w:color w:val="000000"/>
          <w:sz w:val="28"/>
          <w:szCs w:val="28"/>
        </w:rPr>
        <w:t xml:space="preserve">. 2. </w:t>
      </w:r>
      <w:proofErr w:type="spellStart"/>
      <w:r w:rsidRPr="003906C4">
        <w:rPr>
          <w:color w:val="000000"/>
          <w:sz w:val="28"/>
          <w:szCs w:val="28"/>
        </w:rPr>
        <w:t>Констатуюча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частина</w:t>
      </w:r>
      <w:proofErr w:type="spellEnd"/>
      <w:proofErr w:type="gramStart"/>
      <w:r w:rsidRPr="003906C4">
        <w:rPr>
          <w:color w:val="000000"/>
          <w:sz w:val="28"/>
          <w:szCs w:val="28"/>
        </w:rPr>
        <w:t xml:space="preserve"> )</w:t>
      </w:r>
      <w:proofErr w:type="gramEnd"/>
      <w:r w:rsidRPr="003906C4">
        <w:rPr>
          <w:color w:val="000000"/>
          <w:sz w:val="28"/>
          <w:szCs w:val="28"/>
        </w:rPr>
        <w:t>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3906C4">
        <w:rPr>
          <w:color w:val="000000"/>
          <w:sz w:val="28"/>
          <w:szCs w:val="28"/>
        </w:rPr>
        <w:t xml:space="preserve">У </w:t>
      </w:r>
      <w:proofErr w:type="spellStart"/>
      <w:r w:rsidRPr="003906C4">
        <w:rPr>
          <w:color w:val="000000"/>
          <w:sz w:val="28"/>
          <w:szCs w:val="28"/>
        </w:rPr>
        <w:t>розпорядчій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частині</w:t>
      </w:r>
      <w:proofErr w:type="spellEnd"/>
      <w:r w:rsidRPr="003906C4">
        <w:rPr>
          <w:color w:val="000000"/>
          <w:sz w:val="28"/>
          <w:szCs w:val="28"/>
        </w:rPr>
        <w:t xml:space="preserve"> наказу </w:t>
      </w:r>
      <w:proofErr w:type="spellStart"/>
      <w:r w:rsidRPr="003906C4">
        <w:rPr>
          <w:color w:val="000000"/>
          <w:sz w:val="28"/>
          <w:szCs w:val="28"/>
        </w:rPr>
        <w:t>зазначається</w:t>
      </w:r>
      <w:proofErr w:type="spellEnd"/>
      <w:r w:rsidRPr="003906C4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3906C4">
        <w:rPr>
          <w:color w:val="000000"/>
          <w:sz w:val="28"/>
          <w:szCs w:val="28"/>
        </w:rPr>
        <w:t>пр</w:t>
      </w:r>
      <w:proofErr w:type="gramEnd"/>
      <w:r w:rsidRPr="003906C4">
        <w:rPr>
          <w:color w:val="000000"/>
          <w:sz w:val="28"/>
          <w:szCs w:val="28"/>
        </w:rPr>
        <w:t>ізвище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ім’я</w:t>
      </w:r>
      <w:proofErr w:type="spellEnd"/>
      <w:r w:rsidRPr="003906C4">
        <w:rPr>
          <w:color w:val="000000"/>
          <w:sz w:val="28"/>
          <w:szCs w:val="28"/>
        </w:rPr>
        <w:t xml:space="preserve">, по </w:t>
      </w:r>
      <w:proofErr w:type="spellStart"/>
      <w:r w:rsidRPr="003906C4">
        <w:rPr>
          <w:color w:val="000000"/>
          <w:sz w:val="28"/>
          <w:szCs w:val="28"/>
        </w:rPr>
        <w:t>батькові</w:t>
      </w:r>
      <w:proofErr w:type="spellEnd"/>
      <w:r w:rsidRPr="003906C4">
        <w:rPr>
          <w:color w:val="000000"/>
          <w:sz w:val="28"/>
          <w:szCs w:val="28"/>
        </w:rPr>
        <w:t xml:space="preserve"> особи, на яку </w:t>
      </w:r>
      <w:proofErr w:type="spellStart"/>
      <w:r w:rsidRPr="003906C4">
        <w:rPr>
          <w:color w:val="000000"/>
          <w:sz w:val="28"/>
          <w:szCs w:val="28"/>
        </w:rPr>
        <w:t>поширюється</w:t>
      </w:r>
      <w:proofErr w:type="spellEnd"/>
      <w:r w:rsidRPr="003906C4">
        <w:rPr>
          <w:color w:val="000000"/>
          <w:sz w:val="28"/>
          <w:szCs w:val="28"/>
        </w:rPr>
        <w:t xml:space="preserve"> наказ, </w:t>
      </w:r>
      <w:proofErr w:type="spellStart"/>
      <w:r w:rsidRPr="003906C4">
        <w:rPr>
          <w:color w:val="000000"/>
          <w:sz w:val="28"/>
          <w:szCs w:val="28"/>
        </w:rPr>
        <w:t>назва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відповідальної</w:t>
      </w:r>
      <w:proofErr w:type="spellEnd"/>
      <w:r w:rsidRPr="003906C4">
        <w:rPr>
          <w:color w:val="000000"/>
          <w:sz w:val="28"/>
          <w:szCs w:val="28"/>
        </w:rPr>
        <w:t xml:space="preserve"> посади, дата </w:t>
      </w:r>
      <w:proofErr w:type="spellStart"/>
      <w:r w:rsidRPr="003906C4">
        <w:rPr>
          <w:color w:val="000000"/>
          <w:sz w:val="28"/>
          <w:szCs w:val="28"/>
        </w:rPr>
        <w:t>зарахування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звільнення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переведення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термін</w:t>
      </w:r>
      <w:proofErr w:type="spellEnd"/>
      <w:r w:rsidRPr="003906C4">
        <w:rPr>
          <w:color w:val="000000"/>
          <w:sz w:val="28"/>
          <w:szCs w:val="28"/>
        </w:rPr>
        <w:t xml:space="preserve">, на </w:t>
      </w:r>
      <w:proofErr w:type="spellStart"/>
      <w:r w:rsidRPr="003906C4">
        <w:rPr>
          <w:color w:val="000000"/>
          <w:sz w:val="28"/>
          <w:szCs w:val="28"/>
        </w:rPr>
        <w:t>який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зараховується</w:t>
      </w:r>
      <w:proofErr w:type="spellEnd"/>
      <w:r w:rsidRPr="003906C4">
        <w:rPr>
          <w:color w:val="000000"/>
          <w:sz w:val="28"/>
          <w:szCs w:val="28"/>
        </w:rPr>
        <w:t xml:space="preserve"> особа на </w:t>
      </w:r>
      <w:proofErr w:type="spellStart"/>
      <w:r w:rsidRPr="003906C4">
        <w:rPr>
          <w:color w:val="000000"/>
          <w:sz w:val="28"/>
          <w:szCs w:val="28"/>
        </w:rPr>
        <w:t>певну</w:t>
      </w:r>
      <w:proofErr w:type="spellEnd"/>
      <w:r w:rsidRPr="003906C4">
        <w:rPr>
          <w:color w:val="000000"/>
          <w:sz w:val="28"/>
          <w:szCs w:val="28"/>
        </w:rPr>
        <w:t xml:space="preserve"> посаду, </w:t>
      </w:r>
      <w:proofErr w:type="spellStart"/>
      <w:r w:rsidRPr="003906C4">
        <w:rPr>
          <w:color w:val="000000"/>
          <w:sz w:val="28"/>
          <w:szCs w:val="28"/>
        </w:rPr>
        <w:t>умови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зарахування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переведення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звільнення</w:t>
      </w:r>
      <w:proofErr w:type="spellEnd"/>
      <w:r w:rsidRPr="003906C4">
        <w:rPr>
          <w:color w:val="000000"/>
          <w:sz w:val="28"/>
          <w:szCs w:val="28"/>
        </w:rPr>
        <w:t>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3906C4">
        <w:rPr>
          <w:color w:val="000000"/>
          <w:sz w:val="28"/>
          <w:szCs w:val="28"/>
        </w:rPr>
        <w:t xml:space="preserve">У </w:t>
      </w:r>
      <w:proofErr w:type="spellStart"/>
      <w:r w:rsidRPr="003906C4">
        <w:rPr>
          <w:color w:val="000000"/>
          <w:sz w:val="28"/>
          <w:szCs w:val="28"/>
        </w:rPr>
        <w:t>констатуючій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частині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зазначається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06C4">
        <w:rPr>
          <w:color w:val="000000"/>
          <w:sz w:val="28"/>
          <w:szCs w:val="28"/>
        </w:rPr>
        <w:t>п</w:t>
      </w:r>
      <w:proofErr w:type="gramEnd"/>
      <w:r w:rsidRPr="003906C4">
        <w:rPr>
          <w:color w:val="000000"/>
          <w:sz w:val="28"/>
          <w:szCs w:val="28"/>
        </w:rPr>
        <w:t>ідстава</w:t>
      </w:r>
      <w:proofErr w:type="spellEnd"/>
      <w:r w:rsidRPr="003906C4">
        <w:rPr>
          <w:color w:val="000000"/>
          <w:sz w:val="28"/>
          <w:szCs w:val="28"/>
        </w:rPr>
        <w:t>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3906C4">
        <w:rPr>
          <w:color w:val="000000"/>
          <w:sz w:val="28"/>
          <w:szCs w:val="28"/>
        </w:rPr>
        <w:t>Виконавцями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наказів</w:t>
      </w:r>
      <w:proofErr w:type="spellEnd"/>
      <w:r w:rsidRPr="003906C4">
        <w:rPr>
          <w:color w:val="000000"/>
          <w:sz w:val="28"/>
          <w:szCs w:val="28"/>
        </w:rPr>
        <w:t xml:space="preserve"> є </w:t>
      </w:r>
      <w:proofErr w:type="spellStart"/>
      <w:r w:rsidRPr="003906C4">
        <w:rPr>
          <w:color w:val="000000"/>
          <w:sz w:val="28"/>
          <w:szCs w:val="28"/>
        </w:rPr>
        <w:t>організації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чи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структурні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06C4">
        <w:rPr>
          <w:color w:val="000000"/>
          <w:sz w:val="28"/>
          <w:szCs w:val="28"/>
        </w:rPr>
        <w:t>п</w:t>
      </w:r>
      <w:proofErr w:type="gramEnd"/>
      <w:r w:rsidRPr="003906C4">
        <w:rPr>
          <w:color w:val="000000"/>
          <w:sz w:val="28"/>
          <w:szCs w:val="28"/>
        </w:rPr>
        <w:t>ідрозділи</w:t>
      </w:r>
      <w:proofErr w:type="spellEnd"/>
      <w:r w:rsidRPr="003906C4">
        <w:rPr>
          <w:color w:val="000000"/>
          <w:sz w:val="28"/>
          <w:szCs w:val="28"/>
        </w:rPr>
        <w:t xml:space="preserve">. </w:t>
      </w:r>
      <w:proofErr w:type="spellStart"/>
      <w:r w:rsidRPr="003906C4">
        <w:rPr>
          <w:color w:val="000000"/>
          <w:sz w:val="28"/>
          <w:szCs w:val="28"/>
        </w:rPr>
        <w:t>Службова</w:t>
      </w:r>
      <w:proofErr w:type="spellEnd"/>
      <w:r w:rsidRPr="003906C4">
        <w:rPr>
          <w:color w:val="000000"/>
          <w:sz w:val="28"/>
          <w:szCs w:val="28"/>
        </w:rPr>
        <w:t xml:space="preserve"> особа </w:t>
      </w:r>
      <w:proofErr w:type="spellStart"/>
      <w:r w:rsidRPr="003906C4">
        <w:rPr>
          <w:color w:val="000000"/>
          <w:sz w:val="28"/>
          <w:szCs w:val="28"/>
        </w:rPr>
        <w:t>може</w:t>
      </w:r>
      <w:proofErr w:type="spellEnd"/>
      <w:r w:rsidRPr="003906C4">
        <w:rPr>
          <w:color w:val="000000"/>
          <w:sz w:val="28"/>
          <w:szCs w:val="28"/>
        </w:rPr>
        <w:t xml:space="preserve"> бути </w:t>
      </w:r>
      <w:proofErr w:type="spellStart"/>
      <w:r w:rsidRPr="003906C4">
        <w:rPr>
          <w:color w:val="000000"/>
          <w:sz w:val="28"/>
          <w:szCs w:val="28"/>
        </w:rPr>
        <w:t>виконавцем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тоді</w:t>
      </w:r>
      <w:proofErr w:type="spellEnd"/>
      <w:r w:rsidRPr="003906C4">
        <w:rPr>
          <w:color w:val="000000"/>
          <w:sz w:val="28"/>
          <w:szCs w:val="28"/>
        </w:rPr>
        <w:t xml:space="preserve">, коли </w:t>
      </w:r>
      <w:proofErr w:type="spellStart"/>
      <w:r w:rsidRPr="003906C4">
        <w:rPr>
          <w:color w:val="000000"/>
          <w:sz w:val="28"/>
          <w:szCs w:val="28"/>
        </w:rPr>
        <w:t>здійснення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дій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наказується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конкретній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особі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або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групі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осіб</w:t>
      </w:r>
      <w:proofErr w:type="spellEnd"/>
      <w:r w:rsidRPr="003906C4">
        <w:rPr>
          <w:color w:val="000000"/>
          <w:sz w:val="28"/>
          <w:szCs w:val="28"/>
        </w:rPr>
        <w:t xml:space="preserve">. При </w:t>
      </w:r>
      <w:proofErr w:type="spellStart"/>
      <w:r w:rsidRPr="003906C4">
        <w:rPr>
          <w:color w:val="000000"/>
          <w:sz w:val="28"/>
          <w:szCs w:val="28"/>
        </w:rPr>
        <w:t>цьому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подається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повне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найменування</w:t>
      </w:r>
      <w:proofErr w:type="spellEnd"/>
      <w:r w:rsidRPr="003906C4">
        <w:rPr>
          <w:color w:val="000000"/>
          <w:sz w:val="28"/>
          <w:szCs w:val="28"/>
        </w:rPr>
        <w:t xml:space="preserve"> посади </w:t>
      </w:r>
      <w:proofErr w:type="spellStart"/>
      <w:r w:rsidRPr="003906C4">
        <w:rPr>
          <w:color w:val="000000"/>
          <w:sz w:val="28"/>
          <w:szCs w:val="28"/>
        </w:rPr>
        <w:t>цієї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службової</w:t>
      </w:r>
      <w:proofErr w:type="spellEnd"/>
      <w:r w:rsidRPr="003906C4">
        <w:rPr>
          <w:color w:val="000000"/>
          <w:sz w:val="28"/>
          <w:szCs w:val="28"/>
        </w:rPr>
        <w:t xml:space="preserve"> особи, </w:t>
      </w:r>
      <w:proofErr w:type="spellStart"/>
      <w:proofErr w:type="gramStart"/>
      <w:r w:rsidRPr="003906C4">
        <w:rPr>
          <w:color w:val="000000"/>
          <w:sz w:val="28"/>
          <w:szCs w:val="28"/>
        </w:rPr>
        <w:t>пр</w:t>
      </w:r>
      <w:proofErr w:type="gramEnd"/>
      <w:r w:rsidRPr="003906C4">
        <w:rPr>
          <w:color w:val="000000"/>
          <w:sz w:val="28"/>
          <w:szCs w:val="28"/>
        </w:rPr>
        <w:t>ізвище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ініціали</w:t>
      </w:r>
      <w:proofErr w:type="spellEnd"/>
      <w:r w:rsidRPr="003906C4">
        <w:rPr>
          <w:color w:val="000000"/>
          <w:sz w:val="28"/>
          <w:szCs w:val="28"/>
        </w:rPr>
        <w:t xml:space="preserve"> (у </w:t>
      </w:r>
      <w:proofErr w:type="spellStart"/>
      <w:r w:rsidRPr="003906C4">
        <w:rPr>
          <w:color w:val="000000"/>
          <w:sz w:val="28"/>
          <w:szCs w:val="28"/>
        </w:rPr>
        <w:t>давальному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відмінку</w:t>
      </w:r>
      <w:proofErr w:type="spellEnd"/>
      <w:r w:rsidRPr="003906C4">
        <w:rPr>
          <w:color w:val="000000"/>
          <w:sz w:val="28"/>
          <w:szCs w:val="28"/>
        </w:rPr>
        <w:t>).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proofErr w:type="gramStart"/>
      <w:r w:rsidRPr="003906C4">
        <w:rPr>
          <w:color w:val="000000"/>
          <w:sz w:val="28"/>
          <w:szCs w:val="28"/>
        </w:rPr>
        <w:t>П</w:t>
      </w:r>
      <w:proofErr w:type="gramEnd"/>
      <w:r w:rsidRPr="003906C4">
        <w:rPr>
          <w:color w:val="000000"/>
          <w:sz w:val="28"/>
          <w:szCs w:val="28"/>
        </w:rPr>
        <w:t>ідготування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проектів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наказів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покладається</w:t>
      </w:r>
      <w:proofErr w:type="spellEnd"/>
      <w:r w:rsidRPr="003906C4">
        <w:rPr>
          <w:color w:val="000000"/>
          <w:sz w:val="28"/>
          <w:szCs w:val="28"/>
        </w:rPr>
        <w:t xml:space="preserve"> на </w:t>
      </w:r>
      <w:proofErr w:type="spellStart"/>
      <w:r w:rsidRPr="003906C4">
        <w:rPr>
          <w:color w:val="000000"/>
          <w:sz w:val="28"/>
          <w:szCs w:val="28"/>
        </w:rPr>
        <w:t>керівників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структурних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підрозділів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діяльності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яких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стосується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цей</w:t>
      </w:r>
      <w:proofErr w:type="spellEnd"/>
      <w:r w:rsidRPr="003906C4">
        <w:rPr>
          <w:color w:val="000000"/>
          <w:sz w:val="28"/>
          <w:szCs w:val="28"/>
        </w:rPr>
        <w:t xml:space="preserve"> наказ.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3906C4">
        <w:rPr>
          <w:color w:val="000000"/>
          <w:sz w:val="28"/>
          <w:szCs w:val="28"/>
        </w:rPr>
        <w:t xml:space="preserve">У </w:t>
      </w:r>
      <w:proofErr w:type="gramStart"/>
      <w:r w:rsidRPr="003906C4">
        <w:rPr>
          <w:color w:val="000000"/>
          <w:sz w:val="28"/>
          <w:szCs w:val="28"/>
        </w:rPr>
        <w:t>документах</w:t>
      </w:r>
      <w:proofErr w:type="gram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цього</w:t>
      </w:r>
      <w:proofErr w:type="spellEnd"/>
      <w:r w:rsidRPr="003906C4">
        <w:rPr>
          <w:color w:val="000000"/>
          <w:sz w:val="28"/>
          <w:szCs w:val="28"/>
        </w:rPr>
        <w:t xml:space="preserve"> виду </w:t>
      </w:r>
      <w:proofErr w:type="spellStart"/>
      <w:r w:rsidRPr="003906C4">
        <w:rPr>
          <w:color w:val="000000"/>
          <w:sz w:val="28"/>
          <w:szCs w:val="28"/>
        </w:rPr>
        <w:t>використовується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наказова</w:t>
      </w:r>
      <w:proofErr w:type="spellEnd"/>
      <w:r w:rsidRPr="003906C4">
        <w:rPr>
          <w:color w:val="000000"/>
          <w:sz w:val="28"/>
          <w:szCs w:val="28"/>
        </w:rPr>
        <w:t xml:space="preserve"> форма </w:t>
      </w:r>
      <w:proofErr w:type="spellStart"/>
      <w:r w:rsidRPr="003906C4">
        <w:rPr>
          <w:color w:val="000000"/>
          <w:sz w:val="28"/>
          <w:szCs w:val="28"/>
        </w:rPr>
        <w:t>викладу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розпорядчої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частини</w:t>
      </w:r>
      <w:proofErr w:type="spellEnd"/>
      <w:r w:rsidRPr="003906C4">
        <w:rPr>
          <w:color w:val="000000"/>
          <w:sz w:val="28"/>
          <w:szCs w:val="28"/>
        </w:rPr>
        <w:t xml:space="preserve">. </w:t>
      </w:r>
      <w:proofErr w:type="spellStart"/>
      <w:r w:rsidRPr="003906C4">
        <w:rPr>
          <w:color w:val="000000"/>
          <w:sz w:val="28"/>
          <w:szCs w:val="28"/>
        </w:rPr>
        <w:t>Пропоновані</w:t>
      </w:r>
      <w:proofErr w:type="spellEnd"/>
      <w:r w:rsidRPr="003906C4">
        <w:rPr>
          <w:color w:val="000000"/>
          <w:sz w:val="28"/>
          <w:szCs w:val="28"/>
        </w:rPr>
        <w:t xml:space="preserve"> до </w:t>
      </w:r>
      <w:proofErr w:type="spellStart"/>
      <w:r w:rsidRPr="003906C4">
        <w:rPr>
          <w:color w:val="000000"/>
          <w:sz w:val="28"/>
          <w:szCs w:val="28"/>
        </w:rPr>
        <w:t>виконання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дії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називаються</w:t>
      </w:r>
      <w:proofErr w:type="spellEnd"/>
      <w:r w:rsidRPr="003906C4">
        <w:rPr>
          <w:color w:val="000000"/>
          <w:sz w:val="28"/>
          <w:szCs w:val="28"/>
        </w:rPr>
        <w:t xml:space="preserve"> в </w:t>
      </w:r>
      <w:proofErr w:type="spellStart"/>
      <w:r w:rsidRPr="003906C4">
        <w:rPr>
          <w:color w:val="000000"/>
          <w:sz w:val="28"/>
          <w:szCs w:val="28"/>
        </w:rPr>
        <w:t>інфінітивній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формі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наприклад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зарахувати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здійснити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покласти</w:t>
      </w:r>
      <w:proofErr w:type="spellEnd"/>
      <w:r w:rsidRPr="003906C4">
        <w:rPr>
          <w:color w:val="000000"/>
          <w:sz w:val="28"/>
          <w:szCs w:val="28"/>
        </w:rPr>
        <w:t xml:space="preserve"> на… Активна форма </w:t>
      </w:r>
      <w:proofErr w:type="spellStart"/>
      <w:r w:rsidRPr="003906C4">
        <w:rPr>
          <w:color w:val="000000"/>
          <w:sz w:val="28"/>
          <w:szCs w:val="28"/>
        </w:rPr>
        <w:t>дієслів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06C4">
        <w:rPr>
          <w:color w:val="000000"/>
          <w:sz w:val="28"/>
          <w:szCs w:val="28"/>
        </w:rPr>
        <w:t>вживається</w:t>
      </w:r>
      <w:proofErr w:type="spellEnd"/>
      <w:proofErr w:type="gram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тоді</w:t>
      </w:r>
      <w:proofErr w:type="spellEnd"/>
      <w:r w:rsidRPr="003906C4">
        <w:rPr>
          <w:color w:val="000000"/>
          <w:sz w:val="28"/>
          <w:szCs w:val="28"/>
        </w:rPr>
        <w:t xml:space="preserve">, коли треба </w:t>
      </w:r>
      <w:proofErr w:type="spellStart"/>
      <w:r w:rsidRPr="003906C4">
        <w:rPr>
          <w:color w:val="000000"/>
          <w:sz w:val="28"/>
          <w:szCs w:val="28"/>
        </w:rPr>
        <w:t>вказати</w:t>
      </w:r>
      <w:proofErr w:type="spellEnd"/>
      <w:r w:rsidRPr="003906C4">
        <w:rPr>
          <w:color w:val="000000"/>
          <w:sz w:val="28"/>
          <w:szCs w:val="28"/>
        </w:rPr>
        <w:t xml:space="preserve"> на </w:t>
      </w:r>
      <w:proofErr w:type="spellStart"/>
      <w:r w:rsidRPr="003906C4">
        <w:rPr>
          <w:color w:val="000000"/>
          <w:sz w:val="28"/>
          <w:szCs w:val="28"/>
        </w:rPr>
        <w:t>ініціатора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дій</w:t>
      </w:r>
      <w:proofErr w:type="spellEnd"/>
      <w:r w:rsidRPr="003906C4">
        <w:rPr>
          <w:color w:val="000000"/>
          <w:sz w:val="28"/>
          <w:szCs w:val="28"/>
        </w:rPr>
        <w:t xml:space="preserve">. </w:t>
      </w:r>
      <w:proofErr w:type="spellStart"/>
      <w:r w:rsidRPr="003906C4">
        <w:rPr>
          <w:color w:val="000000"/>
          <w:sz w:val="28"/>
          <w:szCs w:val="28"/>
        </w:rPr>
        <w:t>Наприклад</w:t>
      </w:r>
      <w:proofErr w:type="spellEnd"/>
      <w:r w:rsidRPr="003906C4">
        <w:rPr>
          <w:color w:val="000000"/>
          <w:sz w:val="28"/>
          <w:szCs w:val="28"/>
        </w:rPr>
        <w:t xml:space="preserve">: Начальник </w:t>
      </w:r>
      <w:proofErr w:type="gramStart"/>
      <w:r w:rsidRPr="003906C4">
        <w:rPr>
          <w:color w:val="000000"/>
          <w:sz w:val="28"/>
          <w:szCs w:val="28"/>
        </w:rPr>
        <w:t>планового</w:t>
      </w:r>
      <w:proofErr w:type="gram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відділу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зобов’язаний</w:t>
      </w:r>
      <w:proofErr w:type="spellEnd"/>
      <w:r w:rsidRPr="003906C4">
        <w:rPr>
          <w:color w:val="000000"/>
          <w:sz w:val="28"/>
          <w:szCs w:val="28"/>
        </w:rPr>
        <w:t>…</w:t>
      </w:r>
    </w:p>
    <w:p w:rsidR="00781ADC" w:rsidRPr="003906C4" w:rsidRDefault="00781ADC" w:rsidP="00781ADC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3906C4">
        <w:rPr>
          <w:color w:val="000000"/>
          <w:sz w:val="28"/>
          <w:szCs w:val="28"/>
        </w:rPr>
        <w:t>Пункти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розпорядчої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частини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нумеруються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арабськими</w:t>
      </w:r>
      <w:proofErr w:type="spellEnd"/>
      <w:r w:rsidRPr="003906C4">
        <w:rPr>
          <w:color w:val="000000"/>
          <w:sz w:val="28"/>
          <w:szCs w:val="28"/>
        </w:rPr>
        <w:t xml:space="preserve"> цифрами, </w:t>
      </w:r>
      <w:proofErr w:type="spellStart"/>
      <w:r w:rsidRPr="003906C4">
        <w:rPr>
          <w:color w:val="000000"/>
          <w:sz w:val="28"/>
          <w:szCs w:val="28"/>
        </w:rPr>
        <w:t>розпочинаються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назвою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виконавця</w:t>
      </w:r>
      <w:proofErr w:type="spellEnd"/>
      <w:r w:rsidRPr="003906C4">
        <w:rPr>
          <w:color w:val="000000"/>
          <w:sz w:val="28"/>
          <w:szCs w:val="28"/>
        </w:rPr>
        <w:t xml:space="preserve">, </w:t>
      </w:r>
      <w:proofErr w:type="spellStart"/>
      <w:r w:rsidRPr="003906C4">
        <w:rPr>
          <w:color w:val="000000"/>
          <w:sz w:val="28"/>
          <w:szCs w:val="28"/>
        </w:rPr>
        <w:t>далі</w:t>
      </w:r>
      <w:proofErr w:type="spellEnd"/>
      <w:r w:rsidRPr="003906C4">
        <w:rPr>
          <w:color w:val="000000"/>
          <w:sz w:val="28"/>
          <w:szCs w:val="28"/>
        </w:rPr>
        <w:t xml:space="preserve"> — </w:t>
      </w:r>
      <w:proofErr w:type="spellStart"/>
      <w:r w:rsidRPr="003906C4">
        <w:rPr>
          <w:color w:val="000000"/>
          <w:sz w:val="28"/>
          <w:szCs w:val="28"/>
        </w:rPr>
        <w:t>назва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дії</w:t>
      </w:r>
      <w:proofErr w:type="spellEnd"/>
      <w:r w:rsidRPr="003906C4">
        <w:rPr>
          <w:color w:val="000000"/>
          <w:sz w:val="28"/>
          <w:szCs w:val="28"/>
        </w:rPr>
        <w:t xml:space="preserve"> (</w:t>
      </w:r>
      <w:proofErr w:type="spellStart"/>
      <w:r w:rsidRPr="003906C4">
        <w:rPr>
          <w:color w:val="000000"/>
          <w:sz w:val="28"/>
          <w:szCs w:val="28"/>
        </w:rPr>
        <w:t>інфінітивна</w:t>
      </w:r>
      <w:proofErr w:type="spellEnd"/>
      <w:r w:rsidRPr="003906C4">
        <w:rPr>
          <w:color w:val="000000"/>
          <w:sz w:val="28"/>
          <w:szCs w:val="28"/>
        </w:rPr>
        <w:t xml:space="preserve"> форма) та </w:t>
      </w:r>
      <w:proofErr w:type="spellStart"/>
      <w:r w:rsidRPr="003906C4">
        <w:rPr>
          <w:color w:val="000000"/>
          <w:sz w:val="28"/>
          <w:szCs w:val="28"/>
        </w:rPr>
        <w:t>термін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виконання</w:t>
      </w:r>
      <w:proofErr w:type="spellEnd"/>
      <w:r w:rsidRPr="003906C4">
        <w:rPr>
          <w:color w:val="000000"/>
          <w:sz w:val="28"/>
          <w:szCs w:val="28"/>
        </w:rPr>
        <w:t xml:space="preserve"> (</w:t>
      </w:r>
      <w:proofErr w:type="spellStart"/>
      <w:r w:rsidRPr="003906C4">
        <w:rPr>
          <w:color w:val="000000"/>
          <w:sz w:val="28"/>
          <w:szCs w:val="28"/>
        </w:rPr>
        <w:t>застосовується</w:t>
      </w:r>
      <w:proofErr w:type="spellEnd"/>
      <w:r w:rsidRPr="003906C4">
        <w:rPr>
          <w:color w:val="000000"/>
          <w:sz w:val="28"/>
          <w:szCs w:val="28"/>
        </w:rPr>
        <w:t xml:space="preserve"> </w:t>
      </w:r>
      <w:proofErr w:type="spellStart"/>
      <w:r w:rsidRPr="003906C4">
        <w:rPr>
          <w:color w:val="000000"/>
          <w:sz w:val="28"/>
          <w:szCs w:val="28"/>
        </w:rPr>
        <w:t>десяткова</w:t>
      </w:r>
      <w:proofErr w:type="spellEnd"/>
      <w:r w:rsidRPr="003906C4">
        <w:rPr>
          <w:color w:val="000000"/>
          <w:sz w:val="28"/>
          <w:szCs w:val="28"/>
        </w:rPr>
        <w:t xml:space="preserve"> система: 00.00.00.)</w:t>
      </w:r>
    </w:p>
    <w:p w:rsidR="00781ADC" w:rsidRDefault="00781ADC" w:rsidP="00781ADC"/>
    <w:p w:rsidR="005A157F" w:rsidRDefault="005A157F">
      <w:bookmarkStart w:id="0" w:name="_GoBack"/>
      <w:bookmarkEnd w:id="0"/>
    </w:p>
    <w:sectPr w:rsidR="005A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69"/>
    <w:multiLevelType w:val="multilevel"/>
    <w:tmpl w:val="0FA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3BF1"/>
    <w:multiLevelType w:val="multilevel"/>
    <w:tmpl w:val="75B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1BF8"/>
    <w:multiLevelType w:val="multilevel"/>
    <w:tmpl w:val="40B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15E1"/>
    <w:multiLevelType w:val="multilevel"/>
    <w:tmpl w:val="0D9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72E2"/>
    <w:multiLevelType w:val="multilevel"/>
    <w:tmpl w:val="461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27E4"/>
    <w:multiLevelType w:val="multilevel"/>
    <w:tmpl w:val="059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7497"/>
    <w:multiLevelType w:val="multilevel"/>
    <w:tmpl w:val="16C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74B17"/>
    <w:multiLevelType w:val="multilevel"/>
    <w:tmpl w:val="103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86258"/>
    <w:multiLevelType w:val="multilevel"/>
    <w:tmpl w:val="4B0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713C6"/>
    <w:multiLevelType w:val="multilevel"/>
    <w:tmpl w:val="8C9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C22F5"/>
    <w:multiLevelType w:val="multilevel"/>
    <w:tmpl w:val="717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4660C"/>
    <w:multiLevelType w:val="multilevel"/>
    <w:tmpl w:val="630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73675"/>
    <w:multiLevelType w:val="multilevel"/>
    <w:tmpl w:val="B63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F6091"/>
    <w:multiLevelType w:val="multilevel"/>
    <w:tmpl w:val="D49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82696"/>
    <w:multiLevelType w:val="multilevel"/>
    <w:tmpl w:val="EBD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8234E"/>
    <w:multiLevelType w:val="multilevel"/>
    <w:tmpl w:val="5E3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566F9"/>
    <w:multiLevelType w:val="multilevel"/>
    <w:tmpl w:val="57B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80A39"/>
    <w:multiLevelType w:val="multilevel"/>
    <w:tmpl w:val="D10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F3041"/>
    <w:multiLevelType w:val="multilevel"/>
    <w:tmpl w:val="E21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B"/>
    <w:rsid w:val="005A157F"/>
    <w:rsid w:val="00781ADC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2020-04-25T21:20:00Z</dcterms:created>
  <dcterms:modified xsi:type="dcterms:W3CDTF">2020-04-25T21:20:00Z</dcterms:modified>
</cp:coreProperties>
</file>