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CB54E6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30.04.20.   Група: С-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1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B54E6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953F74"/>
    <w:rsid w:val="00B664D7"/>
    <w:rsid w:val="00B854BE"/>
    <w:rsid w:val="00CB54E6"/>
    <w:rsid w:val="00DF04A9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2020-04-27T10:56:00Z</dcterms:modified>
</cp:coreProperties>
</file>