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607A3">
        <w:rPr>
          <w:rFonts w:ascii="Times New Roman" w:hAnsi="Times New Roman" w:cs="Times New Roman"/>
          <w:b/>
          <w:sz w:val="28"/>
          <w:szCs w:val="28"/>
        </w:rPr>
        <w:t>02.04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хімія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«Лабораторний дослід: «</w:t>
      </w:r>
      <w:r w:rsidRPr="00CA1EA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Дослідження адсорбційної здатності активованого вугілля та аналогічних лікарських препаратів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A1EA2" w:rsidRDefault="00CA1EA2" w:rsidP="00CA1EA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</w:p>
    <w:p w:rsidR="00CA1EA2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Ознайомитися з теоретичним матеріалом в підручнику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«Хімія» 11 клас §16.</w:t>
      </w:r>
    </w:p>
    <w:p w:rsidR="00CA1EA2" w:rsidRDefault="00E607A3" w:rsidP="00CA1EA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A1EA2" w:rsidRPr="00CA1EA2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  <w:r w:rsidR="00CA1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A2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лабораторного досліду перейдіть за цим посиланням: </w:t>
      </w:r>
      <w:hyperlink r:id="rId6" w:history="1">
        <w:r w:rsidR="002C14D7" w:rsidRPr="002C14D7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http://interactive.ranok.com.ua/theme/contentview/serednya-ta-starsha-shkola/hmya-11klas/14113-laboratorn-dosldi/25474-laboratorniyi-dosld-2-dosldzhennya-adsorbtsyino-zdatnost-aktivovanogo-vygllya-ta-analogchnih-lkarskih-preparatv</w:t>
        </w:r>
      </w:hyperlink>
    </w:p>
    <w:p w:rsidR="009172F0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дослідження записати до таблиці.</w:t>
      </w:r>
    </w:p>
    <w:p w:rsidR="0042121F" w:rsidRPr="00CA1EA2" w:rsidRDefault="0042121F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відповіді на запитання № 115, 117 в підручнику на ст. 94</w:t>
      </w:r>
    </w:p>
    <w:p w:rsidR="00CA1EA2" w:rsidRDefault="00CA1EA2" w:rsidP="00CA1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EA2" w:rsidRPr="00BA4692" w:rsidRDefault="00CA1EA2" w:rsidP="00CA1EA2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b/>
          <w:sz w:val="28"/>
          <w:szCs w:val="28"/>
        </w:rPr>
        <w:t>Лабораторний дослід №2</w:t>
      </w:r>
    </w:p>
    <w:p w:rsidR="00CA1EA2" w:rsidRPr="00BA4692" w:rsidRDefault="00CA1EA2" w:rsidP="00CA1EA2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  Тема: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 w:rsidRPr="00BA4692">
        <w:rPr>
          <w:rFonts w:ascii="Times New Roman" w:hAnsi="Times New Roman" w:cs="Times New Roman"/>
          <w:b/>
          <w:sz w:val="28"/>
          <w:szCs w:val="28"/>
        </w:rPr>
        <w:t>Дослідження адсорбційної здатності активованого вугілля та аналогічних лікарськ</w:t>
      </w:r>
      <w:r>
        <w:rPr>
          <w:rFonts w:ascii="Times New Roman" w:hAnsi="Times New Roman" w:cs="Times New Roman"/>
          <w:b/>
          <w:sz w:val="28"/>
          <w:szCs w:val="28"/>
        </w:rPr>
        <w:t>их препаратів</w:t>
      </w:r>
      <w:r w:rsidRPr="00BA469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Pr="00BA4692" w:rsidRDefault="00CA1EA2" w:rsidP="00CA1EA2">
      <w:pPr>
        <w:widowControl w:val="0"/>
        <w:spacing w:after="0"/>
        <w:ind w:left="-567" w:firstLine="425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 Мета:</w:t>
      </w:r>
      <w:r w:rsidRPr="00BA4692">
        <w:rPr>
          <w:rFonts w:ascii="Times New Roman" w:hAnsi="Times New Roman" w:cs="Times New Roman"/>
          <w:sz w:val="28"/>
          <w:szCs w:val="28"/>
        </w:rPr>
        <w:t xml:space="preserve"> навчитися досліджувати адсорбційну здатність активованого вугілля та аналогічних лікарських препаратів (</w:t>
      </w:r>
      <w:r w:rsidRPr="000115DB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 xml:space="preserve">ле вугілля, активоване вугілля); </w:t>
      </w:r>
      <w:r w:rsidRPr="00BA4692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робити висновки та узагальнення.</w:t>
      </w:r>
    </w:p>
    <w:p w:rsidR="00CA1EA2" w:rsidRPr="00BA4692" w:rsidRDefault="00CA1EA2" w:rsidP="00CA1EA2">
      <w:pPr>
        <w:tabs>
          <w:tab w:val="left" w:pos="8953"/>
        </w:tabs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Обладнання та реактиви: 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колби</w:t>
      </w:r>
      <w:r w:rsidRPr="00BA4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пігулки активованого вугілля та білого вугілля, </w:t>
      </w:r>
      <w:r w:rsidRPr="00BA4692">
        <w:rPr>
          <w:rFonts w:ascii="Times New Roman" w:hAnsi="Times New Roman" w:cs="Times New Roman"/>
          <w:sz w:val="28"/>
          <w:szCs w:val="28"/>
        </w:rPr>
        <w:t>розчини  йодної настоянки, брильянтового зеленого</w:t>
      </w:r>
      <w:r>
        <w:rPr>
          <w:rFonts w:ascii="Times New Roman" w:hAnsi="Times New Roman" w:cs="Times New Roman"/>
          <w:sz w:val="28"/>
          <w:szCs w:val="28"/>
        </w:rPr>
        <w:t xml:space="preserve"> («зеленки»)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метиленовий си</w:t>
      </w:r>
      <w:r w:rsidRPr="000115DB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(«синька»), чи метилоранж, </w:t>
      </w:r>
      <w:r w:rsidRPr="00BA4692">
        <w:rPr>
          <w:rFonts w:ascii="Times New Roman" w:hAnsi="Times New Roman" w:cs="Times New Roman"/>
          <w:sz w:val="28"/>
          <w:szCs w:val="28"/>
        </w:rPr>
        <w:t>скляні палички.</w:t>
      </w:r>
    </w:p>
    <w:p w:rsidR="00CA1EA2" w:rsidRDefault="00CA1EA2" w:rsidP="00CA1EA2">
      <w:pPr>
        <w:tabs>
          <w:tab w:val="left" w:pos="8953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EA2" w:rsidRDefault="00CA1EA2" w:rsidP="00CA1EA2">
      <w:pPr>
        <w:tabs>
          <w:tab w:val="left" w:pos="8953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AD2">
        <w:rPr>
          <w:rFonts w:ascii="Times New Roman" w:hAnsi="Times New Roman" w:cs="Times New Roman"/>
          <w:b/>
          <w:sz w:val="28"/>
          <w:szCs w:val="28"/>
          <w:u w:val="single"/>
        </w:rPr>
        <w:t>Хід роботи:</w:t>
      </w:r>
    </w:p>
    <w:p w:rsidR="00CA1EA2" w:rsidRPr="00053AD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Дослід 1. </w:t>
      </w:r>
      <w:r w:rsidRPr="00053AD2">
        <w:rPr>
          <w:rFonts w:ascii="Times New Roman" w:hAnsi="Times New Roman" w:cs="Times New Roman"/>
          <w:b/>
          <w:sz w:val="28"/>
          <w:szCs w:val="28"/>
        </w:rPr>
        <w:t>Дослідження адсорбційної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здатності з йодним розчином</w:t>
      </w:r>
      <w:r w:rsidRPr="00053AD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Pr="00157B9C" w:rsidRDefault="00CA1EA2" w:rsidP="002C14D7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69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дві колби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100мл води і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декілька крапель йодної настоянки. </w:t>
      </w:r>
      <w:r w:rsidRPr="00BA46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першу колбу додайте 1гр білого вугілля (біла глина), у другу – таку ж кількість активованого чорного вугілля.</w:t>
      </w:r>
      <w:r w:rsidRPr="00BA4692">
        <w:rPr>
          <w:rFonts w:ascii="Times New Roman" w:hAnsi="Times New Roman" w:cs="Times New Roman"/>
          <w:sz w:val="28"/>
          <w:szCs w:val="28"/>
        </w:rPr>
        <w:t xml:space="preserve"> Вмі</w:t>
      </w:r>
      <w:r>
        <w:rPr>
          <w:rFonts w:ascii="Times New Roman" w:hAnsi="Times New Roman" w:cs="Times New Roman"/>
          <w:sz w:val="28"/>
          <w:szCs w:val="28"/>
        </w:rPr>
        <w:t xml:space="preserve">ст кожної посудини ретельно перемішайте. Дайте постояти 2-4 </w:t>
      </w:r>
      <w:r w:rsidRPr="00157B9C">
        <w:rPr>
          <w:rFonts w:ascii="Times New Roman" w:hAnsi="Times New Roman" w:cs="Times New Roman"/>
          <w:sz w:val="28"/>
          <w:szCs w:val="28"/>
        </w:rPr>
        <w:t>хвилини,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157B9C">
        <w:rPr>
          <w:rFonts w:ascii="Times New Roman" w:hAnsi="Times New Roman" w:cs="Times New Roman"/>
          <w:sz w:val="28"/>
          <w:szCs w:val="28"/>
        </w:rPr>
        <w:t xml:space="preserve"> знову ретельно перемішайте.</w:t>
      </w:r>
    </w:p>
    <w:p w:rsidR="00CA1EA2" w:rsidRDefault="00CA1EA2" w:rsidP="00CA1EA2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sz w:val="28"/>
          <w:szCs w:val="28"/>
        </w:rPr>
        <w:t xml:space="preserve">Що ви спостерігаєте? Чи змінюється </w:t>
      </w:r>
      <w:r>
        <w:rPr>
          <w:rFonts w:ascii="Times New Roman" w:hAnsi="Times New Roman" w:cs="Times New Roman"/>
          <w:sz w:val="28"/>
          <w:szCs w:val="28"/>
        </w:rPr>
        <w:t>інтенсивність забарвлення</w:t>
      </w:r>
      <w:r w:rsidRPr="00BA4692">
        <w:rPr>
          <w:rFonts w:ascii="Times New Roman" w:hAnsi="Times New Roman" w:cs="Times New Roman"/>
          <w:sz w:val="28"/>
          <w:szCs w:val="28"/>
        </w:rPr>
        <w:t xml:space="preserve"> розчинів? Якщо так, то наскільки швидко?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зумовлює появу синього кольору у 2 колбі?</w:t>
      </w:r>
    </w:p>
    <w:p w:rsidR="00CA1EA2" w:rsidRPr="00CA1EA2" w:rsidRDefault="00CA1EA2" w:rsidP="00CA1EA2">
      <w:pPr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1EA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spacing w:after="0" w:line="240" w:lineRule="auto"/>
        <w:ind w:left="-567" w:firstLine="425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2C14D7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lastRenderedPageBreak/>
        <w:t>Яким способом можна прискорити протікання реакції</w:t>
      </w:r>
      <w:r>
        <w:rPr>
          <w:rFonts w:ascii="Times New Roman" w:hAnsi="Times New Roman" w:cs="Times New Roman"/>
          <w:sz w:val="28"/>
          <w:szCs w:val="28"/>
        </w:rPr>
        <w:t xml:space="preserve"> та повністю знебарвити розчин</w:t>
      </w:r>
      <w:r w:rsidRPr="00157B9C">
        <w:rPr>
          <w:rFonts w:ascii="Times New Roman" w:hAnsi="Times New Roman" w:cs="Times New Roman"/>
          <w:sz w:val="28"/>
          <w:szCs w:val="28"/>
        </w:rPr>
        <w:t>? _____________________________________________________________</w:t>
      </w:r>
    </w:p>
    <w:p w:rsidR="00CA1EA2" w:rsidRPr="0083706F" w:rsidRDefault="00CA1EA2" w:rsidP="002C14D7">
      <w:pPr>
        <w:pStyle w:val="a3"/>
        <w:tabs>
          <w:tab w:val="left" w:pos="89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A1EA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EA2" w:rsidRPr="00053AD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Дослід 2. </w:t>
      </w:r>
      <w:r w:rsidRPr="00053AD2">
        <w:rPr>
          <w:rFonts w:ascii="Times New Roman" w:hAnsi="Times New Roman" w:cs="Times New Roman"/>
          <w:b/>
          <w:sz w:val="28"/>
          <w:szCs w:val="28"/>
        </w:rPr>
        <w:t>Дослідження адс</w:t>
      </w:r>
      <w:r>
        <w:rPr>
          <w:rFonts w:ascii="Times New Roman" w:hAnsi="Times New Roman" w:cs="Times New Roman"/>
          <w:b/>
          <w:sz w:val="28"/>
          <w:szCs w:val="28"/>
        </w:rPr>
        <w:t>орбційної здатності з метиленовим синім</w:t>
      </w:r>
      <w:r w:rsidRPr="00053AD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Default="00CA1EA2" w:rsidP="002C14D7">
      <w:pPr>
        <w:pStyle w:val="a3"/>
        <w:numPr>
          <w:ilvl w:val="0"/>
          <w:numId w:val="3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 xml:space="preserve">У дві колби </w:t>
      </w:r>
      <w:proofErr w:type="spellStart"/>
      <w:r w:rsidRPr="00157B9C">
        <w:rPr>
          <w:rFonts w:ascii="Times New Roman" w:hAnsi="Times New Roman" w:cs="Times New Roman"/>
          <w:sz w:val="28"/>
          <w:szCs w:val="28"/>
        </w:rPr>
        <w:t>налийте</w:t>
      </w:r>
      <w:proofErr w:type="spellEnd"/>
      <w:r w:rsidRPr="00157B9C">
        <w:rPr>
          <w:rFonts w:ascii="Times New Roman" w:hAnsi="Times New Roman" w:cs="Times New Roman"/>
          <w:sz w:val="28"/>
          <w:szCs w:val="28"/>
        </w:rPr>
        <w:t xml:space="preserve"> по 100мл води і </w:t>
      </w:r>
      <w:proofErr w:type="spellStart"/>
      <w:r w:rsidRPr="00157B9C">
        <w:rPr>
          <w:rFonts w:ascii="Times New Roman" w:hAnsi="Times New Roman" w:cs="Times New Roman"/>
          <w:sz w:val="28"/>
          <w:szCs w:val="28"/>
        </w:rPr>
        <w:t>добавте</w:t>
      </w:r>
      <w:proofErr w:type="spellEnd"/>
      <w:r w:rsidRPr="00157B9C">
        <w:rPr>
          <w:rFonts w:ascii="Times New Roman" w:hAnsi="Times New Roman" w:cs="Times New Roman"/>
          <w:sz w:val="28"/>
          <w:szCs w:val="28"/>
        </w:rPr>
        <w:t xml:space="preserve"> по декілька крапель </w:t>
      </w:r>
      <w:r>
        <w:rPr>
          <w:rFonts w:ascii="Times New Roman" w:hAnsi="Times New Roman" w:cs="Times New Roman"/>
          <w:sz w:val="28"/>
          <w:szCs w:val="28"/>
        </w:rPr>
        <w:t>настоянки</w:t>
      </w:r>
      <w:r w:rsidRPr="00157B9C">
        <w:t xml:space="preserve"> </w:t>
      </w:r>
      <w:r>
        <w:rPr>
          <w:rFonts w:ascii="Times New Roman" w:hAnsi="Times New Roman" w:cs="Times New Roman"/>
          <w:sz w:val="28"/>
          <w:szCs w:val="28"/>
        </w:rPr>
        <w:t>«синьки»</w:t>
      </w:r>
      <w:r w:rsidRPr="00157B9C">
        <w:rPr>
          <w:rFonts w:ascii="Times New Roman" w:hAnsi="Times New Roman" w:cs="Times New Roman"/>
          <w:sz w:val="28"/>
          <w:szCs w:val="28"/>
        </w:rPr>
        <w:t xml:space="preserve"> . У першу колбу додайте 1гр білого вугілля (біла глина), у другу – таку ж кількість активованого чорного вугілля. Вміст кожної посудини ретельно перемішайте. Дайте постояти 2-4 хвилини, і знову ретельно перемішайте.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1EA2" w:rsidRPr="00157B9C" w:rsidRDefault="00CA1EA2" w:rsidP="002C14D7">
      <w:pPr>
        <w:pStyle w:val="a3"/>
        <w:numPr>
          <w:ilvl w:val="0"/>
          <w:numId w:val="3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Що ви спостерігаєте? Чи змінюється інтенсивність забарвлення розчинів? Якщо так, то наскільки швидко?</w:t>
      </w:r>
      <w:r>
        <w:rPr>
          <w:rFonts w:ascii="Times New Roman" w:hAnsi="Times New Roman" w:cs="Times New Roman"/>
          <w:sz w:val="28"/>
          <w:szCs w:val="28"/>
        </w:rPr>
        <w:t xml:space="preserve"> Опишіть свої спостереження.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A23237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:rsidR="00CA1EA2" w:rsidRPr="002C14D7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Поясніть суть явища адсорбції</w:t>
      </w:r>
      <w:r w:rsidRPr="00BA46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2C1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14D7">
        <w:rPr>
          <w:rFonts w:ascii="Times New Roman" w:hAnsi="Times New Roman" w:cs="Times New Roman"/>
          <w:sz w:val="28"/>
          <w:szCs w:val="28"/>
        </w:rPr>
        <w:t>_____________</w:t>
      </w:r>
    </w:p>
    <w:p w:rsidR="00CA1EA2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адсорбційну здатність досліджуваних речовин.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83706F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2C14D7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D7">
        <w:rPr>
          <w:rFonts w:ascii="Times New Roman" w:hAnsi="Times New Roman" w:cs="Times New Roman"/>
          <w:sz w:val="28"/>
          <w:szCs w:val="28"/>
        </w:rPr>
        <w:t>Які сорбенти ви знаєте?</w:t>
      </w:r>
    </w:p>
    <w:p w:rsidR="00CA1EA2" w:rsidRPr="00BA469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A1EA2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застосовують явища адсорбції</w:t>
      </w:r>
      <w:r w:rsidRPr="00BA4692">
        <w:rPr>
          <w:rFonts w:ascii="Times New Roman" w:hAnsi="Times New Roman" w:cs="Times New Roman"/>
          <w:sz w:val="28"/>
          <w:szCs w:val="28"/>
        </w:rPr>
        <w:t>?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2C14D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</w:t>
      </w:r>
      <w:r w:rsidRPr="0083706F">
        <w:rPr>
          <w:rFonts w:ascii="Times New Roman" w:hAnsi="Times New Roman" w:cs="Times New Roman"/>
          <w:sz w:val="28"/>
          <w:szCs w:val="28"/>
        </w:rPr>
        <w:t>астосу</w:t>
      </w:r>
      <w:r>
        <w:rPr>
          <w:rFonts w:ascii="Times New Roman" w:hAnsi="Times New Roman" w:cs="Times New Roman"/>
          <w:sz w:val="28"/>
          <w:szCs w:val="28"/>
        </w:rPr>
        <w:t>вання явища адсорбції у побуті</w:t>
      </w:r>
      <w:r w:rsidRPr="0083706F">
        <w:rPr>
          <w:rFonts w:ascii="Times New Roman" w:hAnsi="Times New Roman" w:cs="Times New Roman"/>
          <w:sz w:val="28"/>
          <w:szCs w:val="28"/>
        </w:rPr>
        <w:t>?</w:t>
      </w:r>
    </w:p>
    <w:p w:rsidR="00CA1EA2" w:rsidRPr="0083706F" w:rsidRDefault="00CA1EA2" w:rsidP="002C14D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3706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A1EA2" w:rsidRPr="0083706F" w:rsidRDefault="00CA1EA2" w:rsidP="00CA1EA2">
      <w:pPr>
        <w:pStyle w:val="a3"/>
        <w:tabs>
          <w:tab w:val="left" w:pos="89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EA2" w:rsidRDefault="00CA1EA2"/>
    <w:sectPr w:rsidR="00CA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F76"/>
    <w:multiLevelType w:val="hybridMultilevel"/>
    <w:tmpl w:val="4EBE4348"/>
    <w:lvl w:ilvl="0" w:tplc="B45800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7EB"/>
    <w:multiLevelType w:val="hybridMultilevel"/>
    <w:tmpl w:val="1960C0CC"/>
    <w:lvl w:ilvl="0" w:tplc="921252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39666CD"/>
    <w:multiLevelType w:val="hybridMultilevel"/>
    <w:tmpl w:val="362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4B1A"/>
    <w:multiLevelType w:val="hybridMultilevel"/>
    <w:tmpl w:val="A46AE7FE"/>
    <w:lvl w:ilvl="0" w:tplc="4258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2"/>
    <w:rsid w:val="002C14D7"/>
    <w:rsid w:val="0042121F"/>
    <w:rsid w:val="009172F0"/>
    <w:rsid w:val="00CA1EA2"/>
    <w:rsid w:val="00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B47E"/>
  <w15:chartTrackingRefBased/>
  <w15:docId w15:val="{03A01BFC-3B4B-415B-AFF4-92087E6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A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E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theme/contentview/serednya-ta-starsha-shkola/hmya-11klas/14113-laboratorn-dosldi/25474-laboratorniyi-dosld-2-dosldzhennya-adsorbtsyino-zdatnost-aktivovanogo-vygllya-ta-analogchnih-lkarskih-preparatv" TargetMode="Externa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2020-03-23T15:36:00Z</dcterms:created>
  <dcterms:modified xsi:type="dcterms:W3CDTF">2020-04-01T16:47:00Z</dcterms:modified>
</cp:coreProperties>
</file>