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564" w:rsidRDefault="00703564" w:rsidP="007035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41135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B113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B93C1B" w:rsidRDefault="00B93C1B" w:rsidP="007035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Езв-82</w:t>
      </w:r>
    </w:p>
    <w:p w:rsidR="00703564" w:rsidRDefault="00703564" w:rsidP="007035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B93C1B" w:rsidRPr="00F0647F" w:rsidRDefault="00703564" w:rsidP="00B93C1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CB1132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Профілактика неінфекційних, інфекційних, інвазійних захворювань людини, захворювань, що передаються статевим шляхом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703564" w:rsidRPr="00F0647F" w:rsidRDefault="00703564" w:rsidP="007035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703564" w:rsidRPr="00F0647F" w:rsidRDefault="00703564" w:rsidP="0070356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703564" w:rsidRPr="00226AF9" w:rsidRDefault="00703564" w:rsidP="00703564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екологія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»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>
        <w:rPr>
          <w:rFonts w:ascii="Times New Roman" w:hAnsi="Times New Roman" w:cs="Times New Roman"/>
          <w:sz w:val="28"/>
          <w:szCs w:val="28"/>
          <w:lang w:val="uk-UA"/>
        </w:rPr>
        <w:t>§ 2</w:t>
      </w:r>
      <w:r w:rsidR="001C4724">
        <w:rPr>
          <w:rFonts w:ascii="Times New Roman" w:hAnsi="Times New Roman" w:cs="Times New Roman"/>
          <w:sz w:val="28"/>
          <w:szCs w:val="28"/>
          <w:lang w:val="uk-UA"/>
        </w:rPr>
        <w:t>9-32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3564" w:rsidRPr="009E0613" w:rsidRDefault="001C4724" w:rsidP="007035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/1244-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biologi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03564" w:rsidRPr="009E0613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703564" w:rsidRDefault="00703564" w:rsidP="00703564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 w:rsidR="00B75C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CAF" w:rsidRDefault="00B75CAF" w:rsidP="00703564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тестування за цим посиланням:</w:t>
      </w:r>
    </w:p>
    <w:p w:rsidR="00CB1132" w:rsidRDefault="001C4724" w:rsidP="00C21A04">
      <w:pPr>
        <w:spacing w:after="0"/>
        <w:ind w:left="-567"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hyperlink r:id="rId6" w:history="1"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profilaktika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neinfekciynih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infekciynih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invaziynih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zahvoryuvan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lyudini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zahvoryuvan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scho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peredayutsya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statevim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shlyahom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-13396.</w:t>
        </w:r>
        <w:r w:rsidRPr="001C4724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1C4724" w:rsidRDefault="001C4724" w:rsidP="00CB1132">
      <w:pPr>
        <w:spacing w:after="0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B1132" w:rsidRDefault="00CB1132" w:rsidP="00CB1132">
      <w:pPr>
        <w:spacing w:after="0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1C4724" w:rsidRDefault="001C4724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4724" w:rsidRPr="001C4724" w:rsidRDefault="001C4724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Профілактика</w:t>
      </w:r>
      <w:proofErr w:type="spellEnd"/>
      <w:r w:rsidRPr="001C4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захворювань</w:t>
      </w:r>
      <w:proofErr w:type="spellEnd"/>
      <w:r w:rsidRPr="001C4724">
        <w:rPr>
          <w:rFonts w:ascii="Times New Roman" w:hAnsi="Times New Roman" w:cs="Times New Roman"/>
          <w:i/>
          <w:iCs/>
          <w:sz w:val="28"/>
          <w:szCs w:val="28"/>
        </w:rPr>
        <w:t xml:space="preserve"> - </w:t>
      </w:r>
      <w:proofErr w:type="spellStart"/>
      <w:r w:rsidRPr="001C4724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1C4724">
        <w:rPr>
          <w:rFonts w:ascii="Times New Roman" w:hAnsi="Times New Roman" w:cs="Times New Roman"/>
          <w:i/>
          <w:iCs/>
          <w:sz w:val="28"/>
          <w:szCs w:val="28"/>
        </w:rPr>
        <w:t xml:space="preserve"> заходи, </w:t>
      </w:r>
      <w:proofErr w:type="spellStart"/>
      <w:r w:rsidRPr="001C4724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1C47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i/>
          <w:iCs/>
          <w:sz w:val="28"/>
          <w:szCs w:val="28"/>
        </w:rPr>
        <w:t>запобігають</w:t>
      </w:r>
      <w:proofErr w:type="spellEnd"/>
      <w:r w:rsidRPr="001C47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i/>
          <w:iCs/>
          <w:sz w:val="28"/>
          <w:szCs w:val="28"/>
        </w:rPr>
        <w:t>їхньому</w:t>
      </w:r>
      <w:proofErr w:type="spellEnd"/>
      <w:r w:rsidRPr="001C47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i/>
          <w:iCs/>
          <w:sz w:val="28"/>
          <w:szCs w:val="28"/>
        </w:rPr>
        <w:t>виникненню</w:t>
      </w:r>
      <w:proofErr w:type="spellEnd"/>
      <w:r w:rsidRPr="001C47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C4724" w:rsidRPr="001C4724" w:rsidRDefault="001C4724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Профілактика</w:t>
      </w:r>
      <w:proofErr w:type="spellEnd"/>
      <w:r w:rsidRPr="001C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неінфекційних</w:t>
      </w:r>
      <w:proofErr w:type="spellEnd"/>
      <w:r w:rsidRPr="001C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захворювань</w:t>
      </w:r>
      <w:proofErr w:type="spellEnd"/>
      <w:r w:rsidRPr="001C47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47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Неінфекційні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хворобливі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поведінкових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генетичну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причину (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спадкову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неінфекційних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найпоширенішими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серцево-судинні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гіпертонічна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хвороба,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ішемічна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хвороба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інсульт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онкологічні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хронічні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патологій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потерпають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до 60 %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20 %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тісний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неінфекційних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і способом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та факторами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(мал. 24.1).</w:t>
      </w:r>
    </w:p>
    <w:p w:rsidR="001C4724" w:rsidRPr="001C4724" w:rsidRDefault="001C4724" w:rsidP="001C472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1C472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00625" cy="1600200"/>
            <wp:effectExtent l="0" t="0" r="9525" b="0"/>
            <wp:docPr id="4" name="Рисунок 4" descr="https://history.vn.ua/pidruchniki/ostapchenko-biology-and-ecology-11-class-2019-standard-level/ostapchenko-biology-and-ecology-11-class-2019-standard-level.files/image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7" descr="https://history.vn.ua/pidruchniki/ostapchenko-biology-and-ecology-11-class-2019-standard-level/ostapchenko-biology-and-ecology-11-class-2019-standard-level.files/image1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24" w:rsidRPr="001C4724" w:rsidRDefault="001C4724" w:rsidP="001C472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1C4724">
        <w:rPr>
          <w:rFonts w:ascii="Times New Roman" w:hAnsi="Times New Roman" w:cs="Times New Roman"/>
          <w:b/>
          <w:bCs/>
          <w:sz w:val="28"/>
          <w:szCs w:val="28"/>
        </w:rPr>
        <w:t xml:space="preserve">Мал. 24.1. </w:t>
      </w: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1C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чинники</w:t>
      </w:r>
      <w:proofErr w:type="spellEnd"/>
      <w:r w:rsidRPr="001C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виникнення</w:t>
      </w:r>
      <w:proofErr w:type="spellEnd"/>
      <w:r w:rsidRPr="001C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неінфекційних</w:t>
      </w:r>
      <w:proofErr w:type="spellEnd"/>
      <w:r w:rsidRPr="001C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захворювань</w:t>
      </w:r>
      <w:proofErr w:type="spellEnd"/>
    </w:p>
    <w:p w:rsidR="001C4724" w:rsidRPr="001C4724" w:rsidRDefault="001C4724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Метаболічні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поведінковими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зниженою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збалансоване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генетичних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поведінкових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неінфекційних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профілактичних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(мал. 24.2).</w:t>
      </w:r>
    </w:p>
    <w:p w:rsidR="001C4724" w:rsidRPr="001C4724" w:rsidRDefault="001C4724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Профілактика</w:t>
      </w:r>
      <w:proofErr w:type="spellEnd"/>
      <w:r w:rsidRPr="001C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інфекційних</w:t>
      </w:r>
      <w:proofErr w:type="spellEnd"/>
      <w:r w:rsidRPr="001C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захворювань</w:t>
      </w:r>
      <w:proofErr w:type="spellEnd"/>
      <w:r w:rsidRPr="001C47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47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інфекційного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збудника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вірусів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захворіли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lastRenderedPageBreak/>
        <w:t>сприйнятливого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інфекційне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циркулює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людей (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люди),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антропонозним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поліомієліт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менінгококова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інфекція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винятково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сказ) -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зоонозним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антропозоонозні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збудники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спільними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для людей і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є як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люди, так і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(чума, сонна хвороба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>).</w:t>
      </w:r>
    </w:p>
    <w:p w:rsidR="001C4724" w:rsidRPr="001C4724" w:rsidRDefault="001C4724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паразитування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хазяїна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перебігає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виражених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носійство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>.</w:t>
      </w:r>
    </w:p>
    <w:p w:rsidR="001C4724" w:rsidRPr="001C4724" w:rsidRDefault="001C4724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Протиінфекційні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спрямовують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на три ланки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інфікованих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ізоляція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(карантин) і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захворіли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дезінфекція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>.</w:t>
      </w:r>
    </w:p>
    <w:p w:rsidR="001C4724" w:rsidRPr="001C4724" w:rsidRDefault="001C4724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захворіли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інфекційного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перевищить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епідемічний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набуде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епідемії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>.</w:t>
      </w:r>
    </w:p>
    <w:p w:rsidR="001C4724" w:rsidRPr="001C4724" w:rsidRDefault="001C4724" w:rsidP="001C472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1C472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10150" cy="1247775"/>
            <wp:effectExtent l="0" t="0" r="0" b="9525"/>
            <wp:docPr id="3" name="Рисунок 3" descr="https://history.vn.ua/pidruchniki/ostapchenko-biology-and-ecology-11-class-2019-standard-level/ostapchenko-biology-and-ecology-11-class-2019-standard-level.files/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8" descr="https://history.vn.ua/pidruchniki/ostapchenko-biology-and-ecology-11-class-2019-standard-level/ostapchenko-biology-and-ecology-11-class-2019-standard-level.files/image1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24" w:rsidRPr="001C4724" w:rsidRDefault="001C4724" w:rsidP="001C472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1C4724">
        <w:rPr>
          <w:rFonts w:ascii="Times New Roman" w:hAnsi="Times New Roman" w:cs="Times New Roman"/>
          <w:b/>
          <w:bCs/>
          <w:sz w:val="28"/>
          <w:szCs w:val="28"/>
        </w:rPr>
        <w:t xml:space="preserve">Мал. 24.2. </w:t>
      </w: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Стратегії</w:t>
      </w:r>
      <w:proofErr w:type="spellEnd"/>
      <w:r w:rsidRPr="001C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профілактики</w:t>
      </w:r>
      <w:proofErr w:type="spellEnd"/>
      <w:r w:rsidRPr="001C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неінфекційних</w:t>
      </w:r>
      <w:proofErr w:type="spellEnd"/>
      <w:r w:rsidRPr="001C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захворювань</w:t>
      </w:r>
      <w:proofErr w:type="spellEnd"/>
    </w:p>
    <w:p w:rsidR="001C4724" w:rsidRPr="001C4724" w:rsidRDefault="001C4724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Епідемічний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певне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захворіло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захворілих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на 100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розраховують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захворюваність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перерости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епідемію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2019 р.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епідемічний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становив 518,68 на 100 000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>.</w:t>
      </w:r>
    </w:p>
    <w:p w:rsidR="001C4724" w:rsidRPr="001C4724" w:rsidRDefault="001C4724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4724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ланки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>:</w:t>
      </w:r>
    </w:p>
    <w:p w:rsidR="001C4724" w:rsidRPr="001C4724" w:rsidRDefault="001C4724" w:rsidP="001C47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72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правил і норм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>;</w:t>
      </w:r>
    </w:p>
    <w:p w:rsidR="001C4724" w:rsidRPr="001C4724" w:rsidRDefault="001C4724" w:rsidP="001C47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724">
        <w:rPr>
          <w:rFonts w:ascii="Times New Roman" w:hAnsi="Times New Roman" w:cs="Times New Roman"/>
          <w:sz w:val="28"/>
          <w:szCs w:val="28"/>
        </w:rPr>
        <w:t xml:space="preserve">реклама і пропаганда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>;</w:t>
      </w:r>
    </w:p>
    <w:p w:rsidR="001C4724" w:rsidRPr="001C4724" w:rsidRDefault="001C4724" w:rsidP="001C47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санітарно-гігієнічний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продажем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особливо в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осередках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за станом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води).</w:t>
      </w:r>
    </w:p>
    <w:p w:rsidR="001C4724" w:rsidRPr="001C4724" w:rsidRDefault="001C4724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472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>:</w:t>
      </w:r>
    </w:p>
    <w:p w:rsidR="001C4724" w:rsidRPr="001C4724" w:rsidRDefault="001C4724" w:rsidP="001C47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профілактична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вакцинація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>;</w:t>
      </w:r>
    </w:p>
    <w:p w:rsidR="001C4724" w:rsidRPr="001C4724" w:rsidRDefault="001C4724" w:rsidP="001C47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сироваток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антитіл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імунотерапія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>;</w:t>
      </w:r>
    </w:p>
    <w:p w:rsidR="001C4724" w:rsidRPr="001C4724" w:rsidRDefault="001C4724" w:rsidP="001C47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профілактичне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протимікробних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>.</w:t>
      </w:r>
    </w:p>
    <w:p w:rsidR="001C4724" w:rsidRPr="001C4724" w:rsidRDefault="001C4724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Профілактика</w:t>
      </w:r>
      <w:proofErr w:type="spellEnd"/>
      <w:r w:rsidRPr="001C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інвазійних</w:t>
      </w:r>
      <w:proofErr w:type="spellEnd"/>
      <w:r w:rsidRPr="001C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b/>
          <w:bCs/>
          <w:sz w:val="28"/>
          <w:szCs w:val="28"/>
        </w:rPr>
        <w:t>захворювань</w:t>
      </w:r>
      <w:proofErr w:type="spellEnd"/>
      <w:r w:rsidRPr="001C47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47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Інвазійні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збудника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гельмінтози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збудниками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гельмінти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протозойні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r w:rsidRPr="001C4724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збудники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одноклітинні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твариноподібні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акаріази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збудники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кліщі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ентомози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збудники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). Для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профілактичних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інвазійних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знати цикли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паразитів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переносників</w:t>
      </w:r>
      <w:r w:rsidRPr="001C47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інвазійного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резервуари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збудника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інвазії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географічної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>.</w:t>
      </w:r>
    </w:p>
    <w:p w:rsidR="001C4724" w:rsidRPr="001C4724" w:rsidRDefault="001C4724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ланкою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інвазійного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переносників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генетичні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спадковий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переносників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малярією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опроміненням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стерилізують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самців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комарів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випускають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724">
        <w:rPr>
          <w:rFonts w:ascii="Times New Roman" w:hAnsi="Times New Roman" w:cs="Times New Roman"/>
          <w:sz w:val="28"/>
          <w:szCs w:val="28"/>
        </w:rPr>
        <w:t>у природу</w:t>
      </w:r>
      <w:proofErr w:type="gramEnd"/>
      <w:r w:rsidRPr="001C4724">
        <w:rPr>
          <w:rFonts w:ascii="Times New Roman" w:hAnsi="Times New Roman" w:cs="Times New Roman"/>
          <w:sz w:val="28"/>
          <w:szCs w:val="28"/>
        </w:rPr>
        <w:t xml:space="preserve">, де вони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паруються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самками. Потомство,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отримане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парування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нежиттєздатним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>.</w:t>
      </w:r>
    </w:p>
    <w:p w:rsidR="001C4724" w:rsidRPr="001C4724" w:rsidRDefault="001C4724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4724">
        <w:rPr>
          <w:rFonts w:ascii="Times New Roman" w:hAnsi="Times New Roman" w:cs="Times New Roman"/>
          <w:sz w:val="28"/>
          <w:szCs w:val="28"/>
        </w:rPr>
        <w:t>З-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інвазійних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Антигельмінтні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антигельмінтики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гельмінтів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зараженню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гельмінтами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елементарне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рук перед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вживанням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домашніми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у сирому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обдавати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окропом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термічно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рибу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>.</w:t>
      </w:r>
    </w:p>
    <w:p w:rsidR="001C4724" w:rsidRPr="001C4724" w:rsidRDefault="001C4724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472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1C4724">
        <w:rPr>
          <w:rFonts w:ascii="Times New Roman" w:hAnsi="Times New Roman" w:cs="Times New Roman"/>
          <w:i/>
          <w:iCs/>
          <w:sz w:val="28"/>
          <w:szCs w:val="28"/>
        </w:rPr>
        <w:t xml:space="preserve"> Для </w:t>
      </w:r>
      <w:proofErr w:type="spellStart"/>
      <w:r w:rsidRPr="001C4724">
        <w:rPr>
          <w:rFonts w:ascii="Times New Roman" w:hAnsi="Times New Roman" w:cs="Times New Roman"/>
          <w:i/>
          <w:iCs/>
          <w:sz w:val="28"/>
          <w:szCs w:val="28"/>
        </w:rPr>
        <w:t>трансмісивних</w:t>
      </w:r>
      <w:proofErr w:type="spellEnd"/>
      <w:r w:rsidRPr="001C47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i/>
          <w:iCs/>
          <w:sz w:val="28"/>
          <w:szCs w:val="28"/>
        </w:rPr>
        <w:t>захворювань</w:t>
      </w:r>
      <w:proofErr w:type="spellEnd"/>
      <w:r w:rsidRPr="001C47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C4724" w:rsidRPr="001C4724" w:rsidRDefault="001C4724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антигельмінтиків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паразитичними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кровосисними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комахами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кліщами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одноклітинними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відлякують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членистоногих,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репеленти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нападу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кровосисних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комах і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кліщів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, де є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нападу,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24">
        <w:rPr>
          <w:rFonts w:ascii="Times New Roman" w:hAnsi="Times New Roman" w:cs="Times New Roman"/>
          <w:sz w:val="28"/>
          <w:szCs w:val="28"/>
        </w:rPr>
        <w:t>одягом</w:t>
      </w:r>
      <w:proofErr w:type="spellEnd"/>
      <w:r w:rsidRPr="001C4724">
        <w:rPr>
          <w:rFonts w:ascii="Times New Roman" w:hAnsi="Times New Roman" w:cs="Times New Roman"/>
          <w:sz w:val="28"/>
          <w:szCs w:val="28"/>
        </w:rPr>
        <w:t>.</w:t>
      </w:r>
    </w:p>
    <w:p w:rsidR="00CB1132" w:rsidRPr="00CB1132" w:rsidRDefault="00CB1132" w:rsidP="001C4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1132" w:rsidRPr="00CB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82B"/>
    <w:multiLevelType w:val="multilevel"/>
    <w:tmpl w:val="CB4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E34E3"/>
    <w:multiLevelType w:val="multilevel"/>
    <w:tmpl w:val="620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11D34"/>
    <w:multiLevelType w:val="hybridMultilevel"/>
    <w:tmpl w:val="1BFE2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64"/>
    <w:rsid w:val="001C4724"/>
    <w:rsid w:val="002610F0"/>
    <w:rsid w:val="00267EFB"/>
    <w:rsid w:val="0041135A"/>
    <w:rsid w:val="005F4A11"/>
    <w:rsid w:val="00703564"/>
    <w:rsid w:val="00730FDA"/>
    <w:rsid w:val="008A04FC"/>
    <w:rsid w:val="00B63FB9"/>
    <w:rsid w:val="00B75CAF"/>
    <w:rsid w:val="00B93C1B"/>
    <w:rsid w:val="00C21A04"/>
    <w:rsid w:val="00CB1132"/>
    <w:rsid w:val="00CE0BD7"/>
    <w:rsid w:val="00CF055D"/>
    <w:rsid w:val="00D53524"/>
    <w:rsid w:val="00F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15FB"/>
  <w15:chartTrackingRefBased/>
  <w15:docId w15:val="{5933D10E-987A-447C-A622-9C7E23DC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5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56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63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profilaktika-neinfekciynih-infekciynih-invaziynih-zahvoryuvan-lyudini-zahvoryuvan-scho-peredayutsya-statevim-shlyahom-13396.html" TargetMode="External"/><Relationship Id="rId5" Type="http://schemas.openxmlformats.org/officeDocument/2006/relationships/hyperlink" Target="https://pidruchnyk.com.ua/1244-biologi-11-klas-sobo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8</cp:revision>
  <dcterms:created xsi:type="dcterms:W3CDTF">2020-04-12T17:18:00Z</dcterms:created>
  <dcterms:modified xsi:type="dcterms:W3CDTF">2020-04-26T15:01:00Z</dcterms:modified>
</cp:coreProperties>
</file>