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30C7">
      <w:pPr>
        <w:rPr>
          <w:rFonts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  <w:lang w:val="uk-UA"/>
        </w:rPr>
        <w:t xml:space="preserve">-14 </w:t>
      </w:r>
    </w:p>
    <w:p w:rsidR="00000000" w:rsidRDefault="004630C7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Назва предмета: “Технології ”</w:t>
      </w:r>
    </w:p>
    <w:p w:rsidR="00000000" w:rsidRDefault="004630C7">
      <w:pPr>
        <w:rPr>
          <w:rFonts w:cs="Times New Roman"/>
          <w:color w:val="333333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Тема уроку: “Форма нігтів”</w:t>
      </w:r>
    </w:p>
    <w:p w:rsidR="00000000" w:rsidRDefault="004630C7">
      <w:pPr>
        <w:pStyle w:val="1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color w:val="333333"/>
          <w:sz w:val="28"/>
          <w:szCs w:val="28"/>
          <w:lang w:val="uk-UA"/>
        </w:rPr>
        <w:t>Форми нігтів, поради щодо їх вибору та створення</w:t>
      </w:r>
    </w:p>
    <w:p w:rsidR="00000000" w:rsidRDefault="004630C7">
      <w:pPr>
        <w:pStyle w:val="a0"/>
        <w:widowControl/>
        <w:ind w:right="210"/>
        <w:rPr>
          <w:rFonts w:cs="Times New Roman"/>
          <w:sz w:val="28"/>
          <w:szCs w:val="28"/>
        </w:rPr>
      </w:pPr>
    </w:p>
    <w:p w:rsidR="00000000" w:rsidRDefault="004630C7">
      <w:pPr>
        <w:pStyle w:val="a0"/>
        <w:widowControl/>
        <w:spacing w:after="0"/>
        <w:rPr>
          <w:rFonts w:cs="Times New Roman"/>
          <w:color w:val="333333"/>
          <w:sz w:val="28"/>
          <w:szCs w:val="28"/>
        </w:rPr>
      </w:pP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4286250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 xml:space="preserve">Гарний акуратний манікюр – обов'язкова частина образу сучасної жінки. І починається воно не з вибору типу покриття або вдалого дизайну, а з </w:t>
      </w:r>
      <w:r>
        <w:rPr>
          <w:rFonts w:cs="Times New Roman"/>
          <w:color w:val="000000"/>
          <w:sz w:val="28"/>
          <w:szCs w:val="28"/>
        </w:rPr>
        <w:t xml:space="preserve">доглянутих рук. Одну з головних ролей тут відводять формі нігтів. Саме вона визначає весь стиль подальшого манікюру, в тому числі можливі відтінки гелю або лаку, декор та багато іншого. А ще вважається, що улюблена форма нігтів може багато чого розповісти </w:t>
      </w:r>
      <w:r>
        <w:rPr>
          <w:rFonts w:cs="Times New Roman"/>
          <w:color w:val="000000"/>
          <w:sz w:val="28"/>
          <w:szCs w:val="28"/>
        </w:rPr>
        <w:t>про характер своєї власниці.</w:t>
      </w:r>
    </w:p>
    <w:p w:rsidR="00000000" w:rsidRDefault="009A5776">
      <w:pPr>
        <w:pStyle w:val="a0"/>
        <w:widowControl/>
        <w:rPr>
          <w:rFonts w:cs="Times New Roman"/>
          <w:color w:val="333333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53150" cy="4229100"/>
            <wp:effectExtent l="0" t="0" r="0" b="0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2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2"/>
        <w:widowControl/>
        <w:spacing w:before="75" w:after="75" w:line="264" w:lineRule="auto"/>
        <w:rPr>
          <w:rFonts w:cs="Times New Roman"/>
          <w:b w:val="0"/>
          <w:bCs w:val="0"/>
          <w:color w:val="000000"/>
          <w:sz w:val="28"/>
          <w:szCs w:val="28"/>
        </w:rPr>
      </w:pPr>
      <w:bookmarkStart w:id="1" w:name="h2_288716"/>
      <w:bookmarkEnd w:id="1"/>
      <w:r>
        <w:rPr>
          <w:rFonts w:cs="Times New Roman"/>
          <w:b w:val="0"/>
          <w:bCs w:val="0"/>
          <w:color w:val="333333"/>
          <w:sz w:val="28"/>
          <w:szCs w:val="28"/>
        </w:rPr>
        <w:t>Які бувають?</w:t>
      </w:r>
    </w:p>
    <w:p w:rsidR="00000000" w:rsidRDefault="004630C7">
      <w:pPr>
        <w:pStyle w:val="a0"/>
        <w:widowControl/>
        <w:spacing w:after="0" w:line="330" w:lineRule="atLeast"/>
        <w:rPr>
          <w:rStyle w:val="a5"/>
          <w:rFonts w:cs="Times New Roman"/>
          <w:b w:val="0"/>
          <w:b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Кожна жінка володіє унікальною формою рук і пальців з нігтями певної форми. Форми нігтів дуже різноманітні, в цілому їх можна розділити на кіл</w:t>
      </w:r>
      <w:r>
        <w:rPr>
          <w:rFonts w:cs="Times New Roman"/>
          <w:color w:val="000000"/>
          <w:sz w:val="28"/>
          <w:szCs w:val="28"/>
        </w:rPr>
        <w:t>ька груп. Їх назви і види відповідають геометричним формам, так як нагадують їх зовні.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Style w:val="a5"/>
          <w:rFonts w:cs="Times New Roman"/>
          <w:b w:val="0"/>
          <w:bCs w:val="0"/>
          <w:color w:val="000000"/>
          <w:sz w:val="28"/>
          <w:szCs w:val="28"/>
        </w:rPr>
        <w:t>Мода на накладні нігті сьогодні вже пройшла. </w:t>
      </w:r>
      <w:r>
        <w:rPr>
          <w:rFonts w:cs="Times New Roman"/>
          <w:color w:val="000000"/>
          <w:sz w:val="28"/>
          <w:szCs w:val="28"/>
        </w:rPr>
        <w:t>Тенденції в світі нейл-арту тяжіють до натуральності. Тому жінкам рекомендують прикрашати природні нігті і лише трохи коригу</w:t>
      </w:r>
      <w:r>
        <w:rPr>
          <w:rFonts w:cs="Times New Roman"/>
          <w:color w:val="000000"/>
          <w:sz w:val="28"/>
          <w:szCs w:val="28"/>
        </w:rPr>
        <w:t>вати їх, надаючи близьку до природної форми.</w:t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124575" cy="2905125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0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2"/>
        </w:numPr>
        <w:tabs>
          <w:tab w:val="left" w:pos="707"/>
        </w:tabs>
        <w:spacing w:after="150"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lastRenderedPageBreak/>
        <w:t>Квадрат. </w:t>
      </w:r>
      <w:r>
        <w:rPr>
          <w:rFonts w:cs="Times New Roman"/>
          <w:color w:val="333333"/>
          <w:sz w:val="28"/>
          <w:szCs w:val="28"/>
        </w:rPr>
        <w:t>Це одна з найбільш часто використовуваних форм. Вона являє собою дві прямі лінії з боків і рівну поперечну пряму лінію. Куточки пр</w:t>
      </w:r>
      <w:r>
        <w:rPr>
          <w:rFonts w:cs="Times New Roman"/>
          <w:color w:val="333333"/>
          <w:sz w:val="28"/>
          <w:szCs w:val="28"/>
        </w:rPr>
        <w:t>и цьому повинні бути прямими. Має квадрат і свої різновиди, про яких мова піде нижче.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Така форма нігтів протипоказана широким рук з короткими пальцями, так як вона візуально зробить їх ще коротше. Власницям тонких натуральних і слабких нігтьових пластин та</w:t>
      </w:r>
      <w:r>
        <w:rPr>
          <w:rFonts w:cs="Times New Roman"/>
          <w:color w:val="000000"/>
          <w:sz w:val="28"/>
          <w:szCs w:val="28"/>
        </w:rPr>
        <w:t>кож варто відмовитися від квадратних (прямокутних) нігтів. У них можуть відколюватися куточки, а при зростанні краю можливо почнуть загинатися всередину.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Для оформлення таких нагідок найбільш підходить французький манікюр. Цікаво виглядає візерунок, що імі</w:t>
      </w:r>
      <w:r>
        <w:rPr>
          <w:rFonts w:cs="Times New Roman"/>
          <w:color w:val="000000"/>
          <w:sz w:val="28"/>
          <w:szCs w:val="28"/>
        </w:rPr>
        <w:t>тує мармур, а також покриття «котяче око». Модні геометричні малюнки гармонійно поєднуються з квадратною формою. Додати блиск нігтям допоможе невелика кількість стразів або прямі блискучі смуги.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5" name="Рисунок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Цікаво виглядає візерунок орігамі. Якщо хочеться трохи пом'якшити форму, слід вибирати матове покриття для оформлення. Також варто використовувати скромний квітковий дизайн </w:t>
      </w:r>
      <w:r>
        <w:rPr>
          <w:rFonts w:cs="Times New Roman"/>
          <w:color w:val="000000"/>
          <w:sz w:val="28"/>
          <w:szCs w:val="28"/>
        </w:rPr>
        <w:t>на акцентном нігті. Вдало виглядатимуть невеликі бутони на витягнутих стеблах.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 xml:space="preserve">Вважається, що власниці нігтів форми квадрат мають чоловічими рисами характеру, аналітичним складом розуму і прагматичним поглядом на життя. </w:t>
      </w:r>
      <w:r>
        <w:rPr>
          <w:rFonts w:cs="Times New Roman"/>
          <w:color w:val="000000"/>
          <w:sz w:val="28"/>
          <w:szCs w:val="28"/>
        </w:rPr>
        <w:lastRenderedPageBreak/>
        <w:t>Вони люблять давати слушні поради, п</w:t>
      </w:r>
      <w:r>
        <w:rPr>
          <w:rFonts w:cs="Times New Roman"/>
          <w:color w:val="000000"/>
          <w:sz w:val="28"/>
          <w:szCs w:val="28"/>
        </w:rPr>
        <w:t>унктуальні і іноді надто допитливі. Манікюр можуть містити в ідеальному стані, звертаючи увагу на найменшу помилку.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3209925"/>
            <wp:effectExtent l="0" t="0" r="0" b="0"/>
            <wp:docPr id="6" name="Рисунок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3209925"/>
            <wp:effectExtent l="0" t="0" r="0" b="0"/>
            <wp:docPr id="7" name="Рисунок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3"/>
        </w:numPr>
        <w:tabs>
          <w:tab w:val="left" w:pos="707"/>
        </w:tabs>
        <w:spacing w:after="150"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М'який квадрат. </w:t>
      </w:r>
      <w:r>
        <w:rPr>
          <w:rFonts w:cs="Times New Roman"/>
          <w:color w:val="333333"/>
          <w:sz w:val="28"/>
          <w:szCs w:val="28"/>
        </w:rPr>
        <w:t>Це та ж сама форма, але з округлими кутами. Її носять як на середню, так і на короткій довжині. З-за більшої практичності у неї безліч прихильниць. Це дуже вдале рішення для тих, кому подобається квадратна форма, але вони не можуть дозв</w:t>
      </w:r>
      <w:r>
        <w:rPr>
          <w:rFonts w:cs="Times New Roman"/>
          <w:color w:val="333333"/>
          <w:sz w:val="28"/>
          <w:szCs w:val="28"/>
        </w:rPr>
        <w:t>олити її собі через ламкість нігтьових пластин.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Дівчина з такою формою нігтів – справжній трудоголік. Вона завжди в справах. Якщо це не робота, то одне з хобі або допомогу кому-то. Це справжні оптимістичні реалистки.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8" name="Рисунок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9" name="Рисунок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4"/>
        </w:numPr>
        <w:tabs>
          <w:tab w:val="left" w:pos="707"/>
        </w:tabs>
        <w:spacing w:after="150"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Овал. </w:t>
      </w:r>
      <w:r>
        <w:rPr>
          <w:rFonts w:cs="Times New Roman"/>
          <w:color w:val="333333"/>
          <w:sz w:val="28"/>
          <w:szCs w:val="28"/>
        </w:rPr>
        <w:t>Ця форма є просто універсальною з-за своєї привабливості і міцності. Її можна носити на різній довжині, але краще на коротких і середніх нігтях.</w:t>
      </w:r>
      <w:r>
        <w:rPr>
          <w:rFonts w:cs="Times New Roman"/>
          <w:color w:val="333333"/>
          <w:sz w:val="28"/>
          <w:szCs w:val="28"/>
        </w:rPr>
        <w:t xml:space="preserve"> Вона підходить жінкам різного віку і має широкі можливості в якості основи під найрізноманітніші види дизайну.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Вона візуально подовжує пальці і гармонує з природною формою  нігтя. Її створюють на нігтях будь-яких, в тому числі природничих і ослаблених.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</w:rPr>
        <w:t>йбільш природна класична форма прекрасна на будь-якій довжині, вона гармонійно поєднується з різними варіантами оформлення. Така форма дуже жіночна і більш м'яка, ніж мигдалеподібна. Квіти і вензелі зможуть вдало оформити такі нігтики в будь-якому колірном</w:t>
      </w:r>
      <w:r>
        <w:rPr>
          <w:rFonts w:cs="Times New Roman"/>
          <w:color w:val="000000"/>
          <w:sz w:val="28"/>
          <w:szCs w:val="28"/>
        </w:rPr>
        <w:t>у рішенні. Їх можна сміливо поєднувати з різними техніками і декором.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10" name="Рисунок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11" name="Рисунок 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12" name="Рисунок 1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13" name="Рисунок 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Чудово виглядають на таких нігтях техніка градієнт і дизайн «котяче око». Популярний малюнок «в'язаний светр» надає м'якості. Можна вибрати матове або г</w:t>
      </w:r>
      <w:r>
        <w:rPr>
          <w:rFonts w:cs="Times New Roman"/>
          <w:color w:val="000000"/>
          <w:sz w:val="28"/>
          <w:szCs w:val="28"/>
        </w:rPr>
        <w:t>лянсове покриття, металевий ефект, шімер і гліттер. А об'ємне виконання 3D на таких нігтях виглядає просто карколомно.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Господиня овальних нігтів намагається в усьому прагнути до ідеалу. Вона надзвичайно жіночна в образі думок, звички і виборі одягу. Любить</w:t>
      </w:r>
      <w:r>
        <w:rPr>
          <w:rFonts w:cs="Times New Roman"/>
          <w:color w:val="000000"/>
          <w:sz w:val="28"/>
          <w:szCs w:val="28"/>
        </w:rPr>
        <w:t xml:space="preserve"> поговорити і не переносить диспутів і суперечок. Найкращим відпочинком для неї є заняття улюбленим хобі або неквапливе споглядання краєвиду за чашкою чаю.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14" name="Рисунок 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15" name="Рисунок 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16" name="Рисунок 1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17" name="Рисунок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5"/>
        </w:numPr>
        <w:tabs>
          <w:tab w:val="left" w:pos="707"/>
        </w:tabs>
        <w:spacing w:after="150"/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Круглі. </w:t>
      </w:r>
      <w:r>
        <w:rPr>
          <w:rFonts w:cs="Times New Roman"/>
          <w:color w:val="333333"/>
          <w:sz w:val="28"/>
          <w:szCs w:val="28"/>
        </w:rPr>
        <w:t>Така форма наближена до природної. При цьому край нігтьо</w:t>
      </w:r>
      <w:r>
        <w:rPr>
          <w:rFonts w:cs="Times New Roman"/>
          <w:color w:val="333333"/>
          <w:sz w:val="28"/>
          <w:szCs w:val="28"/>
        </w:rPr>
        <w:t>вої пластини повторює край пальця. Єдиний складний аспект у такому манікюрі – потрібно буде своєчасно коригувати нігті відростають. Круглі нігті ефектно виглядають з однотонним покриттям в матовому і глянцевому виконанні. На середній довжині хороший класич</w:t>
      </w:r>
      <w:r>
        <w:rPr>
          <w:rFonts w:cs="Times New Roman"/>
          <w:color w:val="333333"/>
          <w:sz w:val="28"/>
          <w:szCs w:val="28"/>
        </w:rPr>
        <w:t>ний френч. Бите скло додасть формі екстравагантності. А вертикальні або діагональні візерунки допоможуть візуально подовжити нігтьову пластину.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2095500" cy="2095500"/>
            <wp:effectExtent l="0" t="0" r="0" b="0"/>
            <wp:docPr id="18" name="Рисунок 1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095500" cy="2095500"/>
            <wp:effectExtent l="0" t="0" r="0" b="0"/>
            <wp:docPr id="19" name="Рисунок 1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095500" cy="2095500"/>
            <wp:effectExtent l="0" t="0" r="0" b="0"/>
            <wp:docPr id="20" name="Рисунок 2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Підійде власницям круглих нігтів і модний в новому сезоні анімалістичний малюнок. Гармонійно виглядають вензелі, а також затишний оксамитовий дизайн </w:t>
      </w:r>
      <w:r>
        <w:rPr>
          <w:rFonts w:cs="Times New Roman"/>
          <w:color w:val="000000"/>
          <w:sz w:val="28"/>
          <w:szCs w:val="28"/>
        </w:rPr>
        <w:t>з використанням піску або м'якого флока. Зовсім юні дівчата можуть використовувати різні забавні візерунки і малюнки, які вдало виглядають на круглих нігтики.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Вважається, що власниці круглих нігтів романтичні, люблять мріяти, намагаються триматися осторонь</w:t>
      </w:r>
      <w:r>
        <w:rPr>
          <w:rFonts w:cs="Times New Roman"/>
          <w:color w:val="000000"/>
          <w:sz w:val="28"/>
          <w:szCs w:val="28"/>
        </w:rPr>
        <w:t xml:space="preserve"> від конфліктних ситуацій. Вони часто ведуть себе непомітно, але при цьому багато надають їм симпатію або заступництво.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21" name="Рисунок 2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22" name="Рисунок 22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1543050" cy="1543050"/>
            <wp:effectExtent l="0" t="0" r="0" b="0"/>
            <wp:docPr id="23" name="Рисунок 23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24" name="Рисунок 24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6"/>
        </w:numPr>
        <w:tabs>
          <w:tab w:val="left" w:pos="707"/>
        </w:tabs>
        <w:spacing w:after="150"/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Квадратний овал. </w:t>
      </w:r>
      <w:r>
        <w:rPr>
          <w:rFonts w:cs="Times New Roman"/>
          <w:color w:val="333333"/>
          <w:sz w:val="28"/>
          <w:szCs w:val="28"/>
        </w:rPr>
        <w:t xml:space="preserve">Це ще одна варіація на тему модифікації овалу і квадрата. Добре використовувати її </w:t>
      </w:r>
      <w:r>
        <w:rPr>
          <w:rFonts w:cs="Times New Roman"/>
          <w:color w:val="333333"/>
          <w:sz w:val="28"/>
          <w:szCs w:val="28"/>
        </w:rPr>
        <w:t>на середній довжині і довгих нігтях. Вона досить стійка за рахунок широкого кінчика. При цьому округленої формою володіють весь край нігтьової пластини і бічні куточки. Цілком практичний варіант, що не вимагає частого коригування. Арочна форма підійде наві</w:t>
      </w:r>
      <w:r>
        <w:rPr>
          <w:rFonts w:cs="Times New Roman"/>
          <w:color w:val="333333"/>
          <w:sz w:val="28"/>
          <w:szCs w:val="28"/>
        </w:rPr>
        <w:t>ть жінкам з широкими нігтями, так як квадратний овал компенсує цю форму.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3209925"/>
            <wp:effectExtent l="0" t="0" r="0" b="0"/>
            <wp:docPr id="25" name="Рисунок 25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3209925"/>
            <wp:effectExtent l="0" t="0" r="0" b="0"/>
            <wp:docPr id="26" name="Рисунок 26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Практичні особи, які намагаються всти</w:t>
      </w:r>
      <w:r>
        <w:rPr>
          <w:rFonts w:cs="Times New Roman"/>
          <w:color w:val="000000"/>
          <w:sz w:val="28"/>
          <w:szCs w:val="28"/>
        </w:rPr>
        <w:t>гнути скрізь, можуть обрати той самий варіант дизайну, що і для квадратних нігтів. Кращі стриманий декор і чисті кольори. Непогано буде оформити манікюр класичним френчем з додаванням ніжних квіткових акцентів або скромних стразів. Для вечірнього виходу мо</w:t>
      </w:r>
      <w:r>
        <w:rPr>
          <w:rFonts w:cs="Times New Roman"/>
          <w:color w:val="000000"/>
          <w:sz w:val="28"/>
          <w:szCs w:val="28"/>
        </w:rPr>
        <w:t>жна додати дзеркальний ефект або металеву втирку.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27" name="Рисунок 27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28" name="Рисунок 28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7"/>
        </w:numPr>
        <w:tabs>
          <w:tab w:val="left" w:pos="707"/>
        </w:tabs>
        <w:spacing w:after="150"/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lastRenderedPageBreak/>
        <w:t>Мигдаль. </w:t>
      </w:r>
      <w:r>
        <w:rPr>
          <w:rFonts w:cs="Times New Roman"/>
          <w:color w:val="333333"/>
          <w:sz w:val="28"/>
          <w:szCs w:val="28"/>
        </w:rPr>
        <w:t>Для цієї форми характерна абсолютна відсутність гос</w:t>
      </w:r>
      <w:r>
        <w:rPr>
          <w:rFonts w:cs="Times New Roman"/>
          <w:color w:val="333333"/>
          <w:sz w:val="28"/>
          <w:szCs w:val="28"/>
        </w:rPr>
        <w:t>трих кутів. Тільки плавні лінії, за допомогою яких ніготь з боків плавно звужується до центру. Кінчик теж досить плавний, овальний. Така конфігурація дуже витончена і жіночна. Такі нігті ніколи не виходять з моди. Вибирати для такої форми варто довгу або с</w:t>
      </w:r>
      <w:r>
        <w:rPr>
          <w:rFonts w:cs="Times New Roman"/>
          <w:color w:val="333333"/>
          <w:sz w:val="28"/>
          <w:szCs w:val="28"/>
        </w:rPr>
        <w:t>ередню довжину. Нігтики повинні бути досить міцними, так як форма не зовсім стабільна. Добре виглядають нарощені нігті такої конфігурації. Краще вибирати дівчатам з витонченими пальцями і коротким підставою нігтьової пластини.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29" name="Рисунок 2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0" name="Рисунок 30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Style w:val="a5"/>
          <w:rFonts w:cs="Times New Roman"/>
          <w:b w:val="0"/>
          <w:b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Французький манікюр – прекрасне рішення для таких нігтів. Доповнити його можна оформленням лунулы, стразами або мереживним витонченим дизай</w:t>
      </w:r>
      <w:r>
        <w:rPr>
          <w:rFonts w:cs="Times New Roman"/>
          <w:color w:val="000000"/>
          <w:sz w:val="28"/>
          <w:szCs w:val="28"/>
        </w:rPr>
        <w:t>ном. Розкішно виглядають блиск, стрази і бульонки. Геометричний дизайн варто використовувати дуже обережно, щоб він не порушував гармонію основної форми.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 w:val="0"/>
          <w:bCs w:val="0"/>
          <w:color w:val="000000"/>
          <w:sz w:val="28"/>
          <w:szCs w:val="28"/>
        </w:rPr>
        <w:t>Різні візерунки і малюнки будуть створювати оригінальний образ. </w:t>
      </w:r>
      <w:r>
        <w:rPr>
          <w:rFonts w:cs="Times New Roman"/>
          <w:color w:val="000000"/>
          <w:sz w:val="28"/>
          <w:szCs w:val="28"/>
        </w:rPr>
        <w:t>Можна сміливо експериментувати з текст</w:t>
      </w:r>
      <w:r>
        <w:rPr>
          <w:rFonts w:cs="Times New Roman"/>
          <w:color w:val="000000"/>
          <w:sz w:val="28"/>
          <w:szCs w:val="28"/>
        </w:rPr>
        <w:t>урами і квітами покриття. Плавні перетікання омбре або чіткий градієнт допоможуть створити потрібний ефект. Модний образ створять стрази, металева втирка.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Володарки мигдалеподібних нагідок ретельно стежать за собою, володіють здоровим егоїзмом і відмінним </w:t>
      </w:r>
      <w:r>
        <w:rPr>
          <w:rFonts w:cs="Times New Roman"/>
          <w:color w:val="000000"/>
          <w:sz w:val="28"/>
          <w:szCs w:val="28"/>
        </w:rPr>
        <w:t>смаком.</w:t>
      </w:r>
    </w:p>
    <w:p w:rsidR="00000000" w:rsidRDefault="004630C7">
      <w:pPr>
        <w:pStyle w:val="12"/>
        <w:widowControl/>
        <w:pBdr>
          <w:left w:val="single" w:sz="32" w:space="21" w:color="FFFFFF"/>
        </w:pBdr>
        <w:shd w:val="clear" w:color="auto" w:fill="ECF0F1"/>
        <w:spacing w:after="0" w:line="330" w:lineRule="atLeast"/>
        <w:rPr>
          <w:rFonts w:cs="Times New Roman"/>
          <w:i/>
          <w:color w:val="000000"/>
          <w:sz w:val="28"/>
          <w:szCs w:val="28"/>
        </w:rPr>
      </w:pP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31" name="Рисунок 31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2" name="Рисунок 32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3" name="Рисунок 33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34" name="Рисунок 34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8"/>
        </w:numPr>
        <w:tabs>
          <w:tab w:val="left" w:pos="707"/>
        </w:tabs>
        <w:spacing w:after="150"/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Гостра трикутна форма. </w:t>
      </w:r>
      <w:r>
        <w:rPr>
          <w:rFonts w:cs="Times New Roman"/>
          <w:color w:val="333333"/>
          <w:sz w:val="28"/>
          <w:szCs w:val="28"/>
        </w:rPr>
        <w:t>Нагадує мигдалеподібну, але з екстремально кутастим гострим кінцем. Помітні нігті кілька агресивні, тому майстри намагаються відходити від них. Для любительок котячих кігтиків підійде сере</w:t>
      </w:r>
      <w:r>
        <w:rPr>
          <w:rFonts w:cs="Times New Roman"/>
          <w:color w:val="333333"/>
          <w:sz w:val="28"/>
          <w:szCs w:val="28"/>
        </w:rPr>
        <w:t>дня або велика довжина. Нігті при цьому повинні бути дуже міцними і здоровими. Щоб уникнути відколів, краще зміцнити їх акрилом або зробити нарощування. Краще всього така форма буде виглядати на тонких пальчиках з досить вузькими нігтьовими пластинами.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5" name="Рисунок 35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6" name="Рисунок 36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Style w:val="a5"/>
          <w:rFonts w:cs="Times New Roman"/>
          <w:b w:val="0"/>
          <w:bCs w:val="0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У найбільш екстремальному варіанті форма може прийняти вигляд піки. Її кінчик гранично видовжений і загострений. </w:t>
      </w:r>
      <w:r>
        <w:rPr>
          <w:rFonts w:cs="Times New Roman"/>
          <w:color w:val="000000"/>
          <w:sz w:val="28"/>
          <w:szCs w:val="28"/>
        </w:rPr>
        <w:t>Створюють таку форму на штучних нігтях. Це частий варіант подіумного дизайну або оформлення нігтів для тематичної вечірки.</w:t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b w:val="0"/>
          <w:bCs w:val="0"/>
          <w:color w:val="000000"/>
          <w:sz w:val="28"/>
          <w:szCs w:val="28"/>
        </w:rPr>
        <w:t>На кожен день такий манікюр краще оформляти в популярних нюдовых тонах. </w:t>
      </w:r>
      <w:r>
        <w:rPr>
          <w:rFonts w:cs="Times New Roman"/>
          <w:color w:val="000000"/>
          <w:sz w:val="28"/>
          <w:szCs w:val="28"/>
        </w:rPr>
        <w:t>Матове покриття допоможе згладити екстремальну форму. Для веч</w:t>
      </w:r>
      <w:r>
        <w:rPr>
          <w:rFonts w:cs="Times New Roman"/>
          <w:color w:val="000000"/>
          <w:sz w:val="28"/>
          <w:szCs w:val="28"/>
        </w:rPr>
        <w:t>ора можна вибрати розкішне червоно-чорне оформлення, блиск і металеву втирку. «Котяче око», стрази та фольга своїми супермодними ефектами підкреслять рідкісну форму такої нігтьової пластини.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Воліють ці нігтики творчі особистості, емоційні та екстравагантні</w:t>
      </w:r>
      <w:r>
        <w:rPr>
          <w:rFonts w:cs="Times New Roman"/>
          <w:color w:val="000000"/>
          <w:sz w:val="28"/>
          <w:szCs w:val="28"/>
        </w:rPr>
        <w:t>. Вони вельми загадкові і не схильні вести практичний спосіб життя. Зате здатні запропонувати на роботі десяток нестандартних рішень питання.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7" name="Рисунок 37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38" name="Рисунок 38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39" name="Рисунок 39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Style w:val="a5"/>
          <w:rFonts w:cs="Times New Roman"/>
          <w:b w:val="0"/>
          <w:bCs w:val="0"/>
          <w:color w:val="333333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40" name="Рисунок 40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numPr>
          <w:ilvl w:val="0"/>
          <w:numId w:val="9"/>
        </w:numPr>
        <w:tabs>
          <w:tab w:val="left" w:pos="707"/>
        </w:tabs>
        <w:spacing w:after="150"/>
      </w:pPr>
      <w:r>
        <w:rPr>
          <w:rStyle w:val="a5"/>
          <w:rFonts w:cs="Times New Roman"/>
          <w:b w:val="0"/>
          <w:bCs w:val="0"/>
          <w:color w:val="333333"/>
          <w:sz w:val="28"/>
          <w:szCs w:val="28"/>
        </w:rPr>
        <w:t>Балерина. </w:t>
      </w:r>
      <w:r>
        <w:rPr>
          <w:rFonts w:cs="Times New Roman"/>
          <w:color w:val="333333"/>
          <w:sz w:val="28"/>
          <w:szCs w:val="28"/>
        </w:rPr>
        <w:t xml:space="preserve">Ця нова модна форма з'явилася порівняно недавно, а масове поширення </w:t>
      </w:r>
      <w:r>
        <w:rPr>
          <w:rFonts w:cs="Times New Roman"/>
          <w:color w:val="333333"/>
          <w:sz w:val="28"/>
          <w:szCs w:val="28"/>
        </w:rPr>
        <w:t>отримала буквально в трьох останніх сезонах. Називається вона так із-за зовнішньої схожості з пуантами балерин. Трапецієвидна форма – це змішання прямокутника і загострених нігтів. При цьому кінчик рівний, зрізаний, а куточки досить гострі. Витягнута трапе</w:t>
      </w:r>
      <w:r>
        <w:rPr>
          <w:rFonts w:cs="Times New Roman"/>
          <w:color w:val="333333"/>
          <w:sz w:val="28"/>
          <w:szCs w:val="28"/>
        </w:rPr>
        <w:t>ція шикарно виглядає в середній довжині і на довгих нігтях. Спеціально для любительок натуральності створили і варіант короткої форми. Архітектура манікюру досить складна, тому недостатньо сильні нігті можуть потріскатися в процесі створення форми.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3209925" cy="2409825"/>
            <wp:effectExtent l="0" t="0" r="0" b="0"/>
            <wp:docPr id="41" name="Рисунок 41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09925" cy="2409825"/>
            <wp:effectExtent l="0" t="0" r="0" b="0"/>
            <wp:docPr id="42" name="Рисунок 42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Форма досить помітна, тому не потребує складного оформленні. Досить благородного монохромного матового покриття. Розк</w:t>
      </w:r>
      <w:r>
        <w:rPr>
          <w:rFonts w:cs="Times New Roman"/>
          <w:color w:val="000000"/>
          <w:sz w:val="28"/>
          <w:szCs w:val="28"/>
        </w:rPr>
        <w:t>ішний ефект таким нігтикам додадуть стрази, камені і блискітки.</w:t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Актуальний геометричний дизайн у додатку ефекту металік буде виглядати дуже модно. Можна прикрасити таку форму і френчем у цікавій інтерпретації.</w:t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43" name="Рисунок 43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44" name="Рисунок 44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1543050" cy="1543050"/>
            <wp:effectExtent l="0" t="0" r="0" b="0"/>
            <wp:docPr id="45" name="Рисунок 45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776">
      <w:pPr>
        <w:pStyle w:val="a0"/>
        <w:widowControl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1543050" cy="1543050"/>
            <wp:effectExtent l="0" t="0" r="0" b="0"/>
            <wp:docPr id="46" name="Рисунок 46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a0"/>
        <w:widowControl/>
        <w:spacing w:after="0" w:line="330" w:lineRule="atLeast"/>
      </w:pPr>
      <w:r>
        <w:rPr>
          <w:rFonts w:cs="Times New Roman"/>
          <w:color w:val="000000"/>
          <w:sz w:val="28"/>
          <w:szCs w:val="28"/>
        </w:rPr>
        <w:t>Таку форму</w:t>
      </w:r>
      <w:r>
        <w:rPr>
          <w:rFonts w:cs="Times New Roman"/>
          <w:color w:val="000000"/>
          <w:sz w:val="28"/>
          <w:szCs w:val="28"/>
        </w:rPr>
        <w:t xml:space="preserve"> обирають ефектні жінки, які люблять стежити за собою. Вони володіють гарним смаком і вишуканими манерами. </w:t>
      </w:r>
    </w:p>
    <w:p w:rsidR="00000000" w:rsidRDefault="009A5776">
      <w:pPr>
        <w:pStyle w:val="a0"/>
        <w:widowControl/>
        <w:rPr>
          <w:lang w:val="uk-UA"/>
        </w:rPr>
      </w:pPr>
      <w:r>
        <w:rPr>
          <w:noProof/>
          <w:lang w:eastAsia="ru-RU" w:bidi="ar-SA"/>
        </w:rPr>
        <w:drawing>
          <wp:inline distT="0" distB="0" distL="0" distR="0">
            <wp:extent cx="6810375" cy="3829050"/>
            <wp:effectExtent l="0" t="0" r="0" b="0"/>
            <wp:docPr id="47" name="Рисунок 47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82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630C7">
      <w:pPr>
        <w:pStyle w:val="2"/>
        <w:widowControl/>
        <w:spacing w:before="75" w:after="75" w:line="264" w:lineRule="auto"/>
        <w:rPr>
          <w:b w:val="0"/>
          <w:bCs w:val="0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Завдання :</w:t>
      </w:r>
    </w:p>
    <w:p w:rsidR="00000000" w:rsidRDefault="004630C7">
      <w:pPr>
        <w:pStyle w:val="a0"/>
        <w:widowControl/>
        <w:numPr>
          <w:ilvl w:val="0"/>
          <w:numId w:val="10"/>
        </w:numPr>
        <w:spacing w:before="75" w:after="75"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</w:t>
      </w:r>
    </w:p>
    <w:p w:rsidR="004630C7" w:rsidRDefault="004630C7">
      <w:pPr>
        <w:pStyle w:val="a0"/>
        <w:widowControl/>
        <w:numPr>
          <w:ilvl w:val="0"/>
          <w:numId w:val="10"/>
        </w:numPr>
        <w:spacing w:before="75" w:after="75" w:line="264" w:lineRule="auto"/>
      </w:pPr>
      <w:r>
        <w:rPr>
          <w:sz w:val="28"/>
          <w:szCs w:val="28"/>
          <w:lang w:val="uk-UA"/>
        </w:rPr>
        <w:t>замалювати форми нігтів</w:t>
      </w:r>
    </w:p>
    <w:sectPr w:rsidR="004630C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6"/>
    <w:rsid w:val="004630C7"/>
    <w:rsid w:val="009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1D5624-09EB-434E-804E-E007DCA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</w:rPr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Цитата1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odhouse.com.ua/images-jpg/6102/610210_big.jpg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://goodhouse.com.ua/images-jpg/6102/610214_big.jpg" TargetMode="External"/><Relationship Id="rId42" Type="http://schemas.openxmlformats.org/officeDocument/2006/relationships/hyperlink" Target="http://goodhouse.com.ua/images-jpg/6102/610218_big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goodhouse.com.ua/images-jpg/6102/610222_big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goodhouse.com.ua/images-jpg/6102/610231_big.jpg" TargetMode="External"/><Relationship Id="rId76" Type="http://schemas.openxmlformats.org/officeDocument/2006/relationships/hyperlink" Target="http://goodhouse.com.ua/images-jpg/6102/610235_big.jpg" TargetMode="External"/><Relationship Id="rId84" Type="http://schemas.openxmlformats.org/officeDocument/2006/relationships/hyperlink" Target="http://goodhouse.com.ua/images-jpg/6102/610239_big.jpg" TargetMode="External"/><Relationship Id="rId89" Type="http://schemas.openxmlformats.org/officeDocument/2006/relationships/image" Target="media/image43.jpeg"/><Relationship Id="rId97" Type="http://schemas.openxmlformats.org/officeDocument/2006/relationships/image" Target="media/image47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92" Type="http://schemas.openxmlformats.org/officeDocument/2006/relationships/hyperlink" Target="http://goodhouse.com.ua/images-jpg/6102/610243_big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dhouse.com.ua/images-jpg/6102/61025_big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goodhouse.com.ua/images-jpg/6102/61029_big.jpg" TargetMode="External"/><Relationship Id="rId32" Type="http://schemas.openxmlformats.org/officeDocument/2006/relationships/hyperlink" Target="http://goodhouse.com.ua/images-jpg/6102/610213_big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goodhouse.com.ua/images-jpg/6102/610217_big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goodhouse.com.ua/images-jpg/6102/610226_big.jpg" TargetMode="External"/><Relationship Id="rId66" Type="http://schemas.openxmlformats.org/officeDocument/2006/relationships/hyperlink" Target="http://goodhouse.com.ua/images-jpg/6102/610230_big.jpg" TargetMode="External"/><Relationship Id="rId74" Type="http://schemas.openxmlformats.org/officeDocument/2006/relationships/hyperlink" Target="http://goodhouse.com.ua/images-jpg/6102/610234_big.jpg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://goodhouse.com.ua/images-jpg/6102/610238_big.jpg" TargetMode="External"/><Relationship Id="rId90" Type="http://schemas.openxmlformats.org/officeDocument/2006/relationships/hyperlink" Target="http://goodhouse.com.ua/images-jpg/6102/610242_big.jpg" TargetMode="External"/><Relationship Id="rId95" Type="http://schemas.openxmlformats.org/officeDocument/2006/relationships/image" Target="media/image46.jpeg"/><Relationship Id="rId19" Type="http://schemas.openxmlformats.org/officeDocument/2006/relationships/image" Target="media/image8.jpeg"/><Relationship Id="rId14" Type="http://schemas.openxmlformats.org/officeDocument/2006/relationships/hyperlink" Target="http://goodhouse.com.ua/images-jpg/6102/61024_big.jpg" TargetMode="External"/><Relationship Id="rId22" Type="http://schemas.openxmlformats.org/officeDocument/2006/relationships/hyperlink" Target="http://goodhouse.com.ua/images-jpg/6102/61028_big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goodhouse.com.ua/images-jpg/6102/610212_big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goodhouse.com.ua/images-jpg/6102/610221_big.jpg" TargetMode="External"/><Relationship Id="rId56" Type="http://schemas.openxmlformats.org/officeDocument/2006/relationships/hyperlink" Target="http://goodhouse.com.ua/images-jpg/6102/610225_big.jpg" TargetMode="External"/><Relationship Id="rId64" Type="http://schemas.openxmlformats.org/officeDocument/2006/relationships/hyperlink" Target="http://goodhouse.com.ua/images-jpg/6102/610229_big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://goodhouse.com.ua/images-jpg/6102/61021_big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goodhouse.com.ua/images-jpg/6102/610233_big.jpg" TargetMode="External"/><Relationship Id="rId80" Type="http://schemas.openxmlformats.org/officeDocument/2006/relationships/hyperlink" Target="http://goodhouse.com.ua/images-jpg/6102/610237_big.jpg" TargetMode="External"/><Relationship Id="rId85" Type="http://schemas.openxmlformats.org/officeDocument/2006/relationships/image" Target="media/image41.jpeg"/><Relationship Id="rId93" Type="http://schemas.openxmlformats.org/officeDocument/2006/relationships/image" Target="media/image45.jpe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goodhouse.com.ua/images-jpg/6102/61023_big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goodhouse.com.ua/images-jpg/6102/610216_big.jpg" TargetMode="External"/><Relationship Id="rId46" Type="http://schemas.openxmlformats.org/officeDocument/2006/relationships/hyperlink" Target="http://goodhouse.com.ua/images-jpg/6102/610220_big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goodhouse.com.ua/images-jpg/6102/61027_big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goodhouse.com.ua/images-jpg/6102/610224_big.jpg" TargetMode="External"/><Relationship Id="rId62" Type="http://schemas.openxmlformats.org/officeDocument/2006/relationships/hyperlink" Target="http://goodhouse.com.ua/images-jpg/6102/610228_big.jpg" TargetMode="External"/><Relationship Id="rId70" Type="http://schemas.openxmlformats.org/officeDocument/2006/relationships/hyperlink" Target="http://goodhouse.com.ua/images-jpg/6102/610232_big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://goodhouse.com.ua/images-jpg/6102/610241_big.jpg" TargetMode="External"/><Relationship Id="rId91" Type="http://schemas.openxmlformats.org/officeDocument/2006/relationships/image" Target="media/image44.jpeg"/><Relationship Id="rId96" Type="http://schemas.openxmlformats.org/officeDocument/2006/relationships/hyperlink" Target="http://goodhouse.com.ua/images-jpg/6102/610245_big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odhouse.com.ua/images-jpg/6102/61020_big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goodhouse.com.ua/images-jpg/6102/610211_big.jpg" TargetMode="External"/><Relationship Id="rId36" Type="http://schemas.openxmlformats.org/officeDocument/2006/relationships/hyperlink" Target="http://goodhouse.com.ua/images-jpg/6102/610215_big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goodhouse.com.ua/images-jpg/6102/61022_big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goodhouse.com.ua/images-jpg/6102/610219_big.jpg" TargetMode="External"/><Relationship Id="rId52" Type="http://schemas.openxmlformats.org/officeDocument/2006/relationships/hyperlink" Target="http://goodhouse.com.ua/images-jpg/6102/610223_big.jpg" TargetMode="External"/><Relationship Id="rId60" Type="http://schemas.openxmlformats.org/officeDocument/2006/relationships/hyperlink" Target="http://goodhouse.com.ua/images-jpg/6102/610227_big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://goodhouse.com.ua/images-jpg/6102/610236_big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://goodhouse.com.ua/images-jpg/6102/610240_big.jpg" TargetMode="External"/><Relationship Id="rId94" Type="http://schemas.openxmlformats.org/officeDocument/2006/relationships/hyperlink" Target="http://goodhouse.com.ua/images-jpg/6102/610244_big.jp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goodhouse.com.ua/images-jpg/6102/61026_big.jpg" TargetMode="External"/><Relationship Id="rId39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2020-04-23T09:10:00Z</dcterms:created>
  <dcterms:modified xsi:type="dcterms:W3CDTF">2020-04-23T09:10:00Z</dcterms:modified>
</cp:coreProperties>
</file>