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56" w:rsidRPr="007F6132" w:rsidRDefault="00A20456" w:rsidP="00A11699">
      <w:pPr>
        <w:spacing w:after="0" w:line="360" w:lineRule="auto"/>
        <w:ind w:firstLine="0"/>
        <w:jc w:val="left"/>
        <w:rPr>
          <w:color w:val="0D0D0D" w:themeColor="text1" w:themeTint="F2"/>
          <w:sz w:val="28"/>
          <w:szCs w:val="28"/>
          <w:lang w:val="ru-RU"/>
        </w:rPr>
      </w:pPr>
    </w:p>
    <w:p w:rsidR="00A20456" w:rsidRPr="007F6132" w:rsidRDefault="00A11699" w:rsidP="00A11699">
      <w:pPr>
        <w:spacing w:after="24" w:line="360" w:lineRule="auto"/>
        <w:ind w:left="566" w:firstLine="0"/>
        <w:jc w:val="left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b/>
          <w:color w:val="0D0D0D" w:themeColor="text1" w:themeTint="F2"/>
          <w:sz w:val="28"/>
          <w:szCs w:val="28"/>
          <w:lang w:val="ru-RU"/>
        </w:rPr>
        <w:t xml:space="preserve">Дата </w:t>
      </w:r>
      <w:r w:rsidRPr="007F6132">
        <w:rPr>
          <w:color w:val="0D0D0D" w:themeColor="text1" w:themeTint="F2"/>
          <w:sz w:val="28"/>
          <w:szCs w:val="28"/>
          <w:lang w:val="ru-RU"/>
        </w:rPr>
        <w:t>10.04.2020</w:t>
      </w:r>
      <w:r w:rsidR="00F6388B"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A20456" w:rsidRPr="007F6132" w:rsidRDefault="00A11699" w:rsidP="00A11699">
      <w:pPr>
        <w:spacing w:after="125" w:line="360" w:lineRule="auto"/>
        <w:ind w:firstLine="566"/>
        <w:jc w:val="left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rFonts w:eastAsia="Cambria"/>
          <w:b/>
          <w:color w:val="0D0D0D" w:themeColor="text1" w:themeTint="F2"/>
          <w:sz w:val="28"/>
          <w:szCs w:val="28"/>
          <w:u w:val="single" w:color="000000"/>
          <w:lang w:val="ru-RU"/>
        </w:rPr>
        <w:t>Тема</w:t>
      </w:r>
      <w:r w:rsidR="00F6388B" w:rsidRP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>Призначення</w:t>
      </w:r>
      <w:proofErr w:type="spellEnd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>такелажних</w:t>
      </w:r>
      <w:proofErr w:type="spellEnd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>пристроїв</w:t>
      </w:r>
      <w:proofErr w:type="spellEnd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 xml:space="preserve"> </w:t>
      </w:r>
    </w:p>
    <w:p w:rsidR="00A11699" w:rsidRPr="007F6132" w:rsidRDefault="00A11699" w:rsidP="00A11699">
      <w:pPr>
        <w:spacing w:line="360" w:lineRule="auto"/>
        <w:ind w:left="-15"/>
        <w:rPr>
          <w:rFonts w:eastAsia="Cambria"/>
          <w:b/>
          <w:i/>
          <w:color w:val="0D0D0D" w:themeColor="text1" w:themeTint="F2"/>
          <w:sz w:val="28"/>
          <w:szCs w:val="28"/>
          <w:lang w:val="ru-RU"/>
        </w:rPr>
      </w:pP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Використовуючи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підручник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,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опорний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конспект та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Internet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ресурси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опрацювати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матеріал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з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даної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законспектувати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</w:rPr>
        <w:t> </w:t>
      </w:r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основні</w:t>
      </w:r>
      <w:proofErr w:type="spellEnd"/>
      <w:proofErr w:type="gram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положення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теми</w:t>
      </w:r>
    </w:p>
    <w:p w:rsidR="007F6132" w:rsidRPr="007F6132" w:rsidRDefault="00F6388B" w:rsidP="00A11699">
      <w:pPr>
        <w:spacing w:after="0" w:line="360" w:lineRule="auto"/>
        <w:ind w:left="909" w:firstLine="0"/>
        <w:jc w:val="center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761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пристрої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: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гак кран;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карабін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пожежник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гайка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кільцем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болт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кільцем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карабін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коуш;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зажим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стяжка С/С гак/гак;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стяжка О/С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/гак;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стяжка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/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скоба;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гаки.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будівельних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кранах.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Основними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елементами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є,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приміром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гаки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кранів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використовувані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троса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скобі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вантажного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блоку.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як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карабіни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пожежні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карабіни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зажими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основному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нестандартних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ситуаціях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таких,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приміром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коли форма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габарити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змушують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працівників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діяти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нестандартно.Також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коуші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стіяжки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Останні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згадані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стяжки,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бути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трьох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видів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вухо-вухо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-гак, гак-гак,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переважно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підвищення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зокрема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переміщенні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велику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lastRenderedPageBreak/>
        <w:t>висоту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активно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повсякденному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житті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Так,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вирушаючи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заміську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поїздку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напевно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використовуєте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даху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автомобіля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човен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причепі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причепа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автомобіля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теж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Ліфти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висотних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будівлях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стояки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телевізори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кафе та барах,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усе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теж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пристроїв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color w:val="0D0D0D" w:themeColor="text1" w:themeTint="F2"/>
          <w:sz w:val="28"/>
          <w:szCs w:val="28"/>
        </w:rPr>
        <w:t> 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траверс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знімні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вантажозахватні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пристрої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призначені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строповки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довгомірних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великогабаритних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Основне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призначення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траверс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оберігати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вироби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піднімаються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конструкції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стискуючих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зусиль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них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застосуванні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звичайних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Конструктивно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підрозділяються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просторові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строповки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балок, колон,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стінних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панелей, ферм, листового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металу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Гратчасті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виготовляють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зазвичай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вигляді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простих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ферм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трикутної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трапецієвидної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форми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Тара –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призначення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застосуванні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будівництва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тарою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називають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пристосування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призначені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переміщення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штучних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, тарно-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штучних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сипких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напіврідких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рідких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категорії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вибухово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-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пожежонебезпечних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поширеними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видами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переміщення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штучних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тарно-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штучних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будівельних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засоби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пакетування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Виготовляють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листової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сталі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листового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алюмінію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клеєної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водостійкої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фанери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Великотоннажні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верхніх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нижніх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кутах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обладнали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типовим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кутовим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фітингом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служить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строповки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вантажозахватними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пристроями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7F6132">
        <w:rPr>
          <w:color w:val="0D0D0D" w:themeColor="text1" w:themeTint="F2"/>
          <w:sz w:val="28"/>
          <w:szCs w:val="28"/>
          <w:lang w:val="ru-RU"/>
        </w:rPr>
        <w:lastRenderedPageBreak/>
        <w:t xml:space="preserve">собою і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підлоги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рухомого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складу.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Середньотонажні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малотоннажні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обладнали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римами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строповочними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петлями.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нижній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рамі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передбачаються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отвори для вил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автонавантажувача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Скоба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скоба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відноситься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виготовляється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сталі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зчеплення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різноманітних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ланцюгів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собою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чого-небудь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дозволяє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максимально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швидко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трос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ланцюг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тип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системах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типу,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щоб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трос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ланцюг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скоб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досить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: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1.</w:t>
      </w:r>
      <w:r w:rsidRPr="007F6132">
        <w:rPr>
          <w:color w:val="0D0D0D" w:themeColor="text1" w:themeTint="F2"/>
          <w:sz w:val="28"/>
          <w:szCs w:val="28"/>
          <w:lang w:val="ru-RU"/>
        </w:rPr>
        <w:t xml:space="preserve">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гвинтовими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штифтами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тимчасових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періодичних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роботах.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2.</w:t>
      </w:r>
      <w:r w:rsidRPr="007F6132">
        <w:rPr>
          <w:color w:val="0D0D0D" w:themeColor="text1" w:themeTint="F2"/>
          <w:sz w:val="28"/>
          <w:szCs w:val="28"/>
          <w:lang w:val="ru-RU"/>
        </w:rPr>
        <w:t xml:space="preserve">Із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запобіжним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болтом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гайкою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коли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насуватися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штифт.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3.</w:t>
      </w:r>
      <w:r w:rsidRPr="007F6132">
        <w:rPr>
          <w:color w:val="0D0D0D" w:themeColor="text1" w:themeTint="F2"/>
          <w:sz w:val="28"/>
          <w:szCs w:val="28"/>
          <w:lang w:val="ru-RU"/>
        </w:rPr>
        <w:t xml:space="preserve">Ланцюгові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дугоподібні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якірні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прямі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встановлюються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одне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плече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4.</w:t>
      </w:r>
      <w:r w:rsidRPr="007F6132">
        <w:rPr>
          <w:color w:val="0D0D0D" w:themeColor="text1" w:themeTint="F2"/>
          <w:sz w:val="28"/>
          <w:szCs w:val="28"/>
          <w:lang w:val="ru-RU"/>
        </w:rPr>
        <w:t xml:space="preserve">Мішкоподібні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вантажопідйомних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системах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декількома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плечима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Кожен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свою сферу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Діапазон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навантажень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витримати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коливається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від 0.3 до 1600 тонн.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як скоба,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складається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спинки, лапок з проушинами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скобі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утримується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нарізки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кінці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одній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проушин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шплінтом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вставляється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7F6132">
        <w:rPr>
          <w:color w:val="0D0D0D" w:themeColor="text1" w:themeTint="F2"/>
          <w:sz w:val="28"/>
          <w:szCs w:val="28"/>
          <w:lang w:val="ru-RU"/>
        </w:rPr>
        <w:t>в отвори</w:t>
      </w:r>
      <w:proofErr w:type="gram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лапці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різьбовому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голівка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невеликий обух,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загвинчування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відгвинчування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закладають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свайку.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Різьбове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дозволяє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швидко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віддати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снасть такелажу, стопор, блок,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роз'єднати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ланцюги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За формою спинки скоби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бувають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прямими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закругленими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Прямі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скоби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lastRenderedPageBreak/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будь-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закруглені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рослинних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синтетичних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 Скоби-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зажими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швидкого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зрощення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виготовлення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петель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кінцях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Розмір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визначається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діаметром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спинки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характеризується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номером,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відповідає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допустимому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робочому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зусиллю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скобу. Номер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вибивають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нижній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частині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лапки скоби разом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товарним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знаком заводу-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виробника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гаки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гаки 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сталеві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ковані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гаки,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За формою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конструкції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розрізняють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: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звичайні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вертлюжні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глаголь-гаки;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храпц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За формою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звичайні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гаки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бувають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: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прості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обуха 2 перпендикулярна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спинки;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повернені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обух, спинка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шкарпетка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лежать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одній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За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обуха гак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закладають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огин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троса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кріплять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підвісці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конструкції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звичайних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гаків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пентер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-гак.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нижній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частині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спинки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обушок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відтяжки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шкентелів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повернені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особливої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конструкції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зване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вантажним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шкентель-гаком,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загнутий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всередину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шкарпетку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прикрита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згори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спеціальним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приливом.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пристрій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виключає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зачеплення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виступаючі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частини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корпусу судна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вантажного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люка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Вертлюжний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замість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обуха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шийку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забезпечує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вільне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обертання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оковуванні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блоку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іншій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підвісці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Вертлюжні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запобігання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перекручення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гакові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вибитий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номер,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відповідний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lastRenderedPageBreak/>
        <w:t>вантажопідйомності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систематично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оглядають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метою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виявлення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тріщин, раковин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дефектів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змащують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поверхні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труться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Вертлюжні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гакиперіодично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ходять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Гаки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середнім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зносом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10%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первинної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товщини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експлуатації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допускаються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Коуш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Коуш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металевий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виріб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вигляді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кільця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серцеподібного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овалу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трикутника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жолобком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кипом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) для троса.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закладають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огини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служать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оберігання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останніх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перетирання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обухів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скоб і т. д.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обухами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собою скобами номер скоби повинен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відповідати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номеру коуша.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Коуші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підбирають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таблицях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приведених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стандартах,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залежно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товщини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Не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допускається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тріщини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розшарування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раковини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задирки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дефекти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A20456" w:rsidRPr="007F6132" w:rsidRDefault="005B40FE" w:rsidP="007F6132">
      <w:pPr>
        <w:rPr>
          <w:color w:val="0D0D0D" w:themeColor="text1" w:themeTint="F2"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17388045" wp14:editId="530363B2">
            <wp:extent cx="5829300" cy="3964940"/>
            <wp:effectExtent l="0" t="0" r="0" b="0"/>
            <wp:docPr id="1" name="Рисунок 1" descr="https://myslide.ru/documents_4/0d1e8901edd927f476bd47046b188d6f/img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myslide.ru/documents_4/0d1e8901edd927f476bd47046b188d6f/img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0456" w:rsidRPr="007F6132">
      <w:footerReference w:type="even" r:id="rId7"/>
      <w:footerReference w:type="default" r:id="rId8"/>
      <w:footerReference w:type="first" r:id="rId9"/>
      <w:pgSz w:w="11909" w:h="16834"/>
      <w:pgMar w:top="898" w:right="844" w:bottom="1220" w:left="1419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A5" w:rsidRDefault="00AC0DA5">
      <w:pPr>
        <w:spacing w:after="0" w:line="240" w:lineRule="auto"/>
      </w:pPr>
      <w:r>
        <w:separator/>
      </w:r>
    </w:p>
  </w:endnote>
  <w:endnote w:type="continuationSeparator" w:id="0">
    <w:p w:rsidR="00AC0DA5" w:rsidRDefault="00AC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F6388B">
    <w:pPr>
      <w:spacing w:after="0" w:line="259" w:lineRule="auto"/>
      <w:ind w:right="4" w:firstLine="0"/>
      <w:jc w:val="right"/>
    </w:pPr>
    <w:proofErr w:type="spellStart"/>
    <w:r>
      <w:rPr>
        <w:rFonts w:ascii="Cambria" w:eastAsia="Cambria" w:hAnsi="Cambria" w:cs="Cambria"/>
        <w:sz w:val="22"/>
      </w:rPr>
      <w:t>Богуш</w:t>
    </w:r>
    <w:proofErr w:type="spellEnd"/>
    <w:r>
      <w:rPr>
        <w:rFonts w:ascii="Cambria" w:eastAsia="Cambria" w:hAnsi="Cambria" w:cs="Cambria"/>
        <w:sz w:val="22"/>
      </w:rPr>
      <w:t xml:space="preserve"> І.Л. </w:t>
    </w: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A20456">
    <w:pPr>
      <w:spacing w:after="0" w:line="259" w:lineRule="auto"/>
      <w:ind w:right="4" w:firstLine="0"/>
      <w:jc w:val="right"/>
    </w:pP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F6388B">
    <w:pPr>
      <w:spacing w:after="0" w:line="259" w:lineRule="auto"/>
      <w:ind w:right="4" w:firstLine="0"/>
      <w:jc w:val="right"/>
    </w:pPr>
    <w:proofErr w:type="spellStart"/>
    <w:r>
      <w:rPr>
        <w:rFonts w:ascii="Cambria" w:eastAsia="Cambria" w:hAnsi="Cambria" w:cs="Cambria"/>
        <w:sz w:val="22"/>
      </w:rPr>
      <w:t>Богуш</w:t>
    </w:r>
    <w:proofErr w:type="spellEnd"/>
    <w:r>
      <w:rPr>
        <w:rFonts w:ascii="Cambria" w:eastAsia="Cambria" w:hAnsi="Cambria" w:cs="Cambria"/>
        <w:sz w:val="22"/>
      </w:rPr>
      <w:t xml:space="preserve"> І.Л. </w:t>
    </w: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A5" w:rsidRDefault="00AC0DA5">
      <w:pPr>
        <w:spacing w:after="0" w:line="240" w:lineRule="auto"/>
      </w:pPr>
      <w:r>
        <w:separator/>
      </w:r>
    </w:p>
  </w:footnote>
  <w:footnote w:type="continuationSeparator" w:id="0">
    <w:p w:rsidR="00AC0DA5" w:rsidRDefault="00AC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6"/>
    <w:rsid w:val="002B3440"/>
    <w:rsid w:val="005B40FE"/>
    <w:rsid w:val="007F6132"/>
    <w:rsid w:val="00A11699"/>
    <w:rsid w:val="00A20456"/>
    <w:rsid w:val="00AC0DA5"/>
    <w:rsid w:val="00BC4012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2E7EE-5578-490A-A7AC-38E706E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38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132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7F61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13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Александр Пикалов</cp:lastModifiedBy>
  <cp:revision>5</cp:revision>
  <dcterms:created xsi:type="dcterms:W3CDTF">2020-04-10T11:31:00Z</dcterms:created>
  <dcterms:modified xsi:type="dcterms:W3CDTF">2020-04-10T11:34:00Z</dcterms:modified>
</cp:coreProperties>
</file>