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C0" w:rsidRPr="00515BC0" w:rsidRDefault="00515BC0" w:rsidP="00515BC0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Група  М -2;  21.04.2020р.  Тема уроку:  « Організація робочого місця. Безпека</w:t>
      </w:r>
    </w:p>
    <w:p w:rsidR="00515BC0" w:rsidRPr="00515BC0" w:rsidRDefault="00515BC0" w:rsidP="00515BC0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праці під час фарбувальних робіт»</w:t>
      </w:r>
    </w:p>
    <w:p w:rsidR="00515BC0" w:rsidRPr="00515BC0" w:rsidRDefault="00515BC0" w:rsidP="00515BC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515BC0" w:rsidRPr="00515BC0" w:rsidRDefault="00515BC0" w:rsidP="00515BC0">
      <w:pPr>
        <w:tabs>
          <w:tab w:val="left" w:pos="92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1. Організація робочого місця:</w:t>
      </w:r>
    </w:p>
    <w:p w:rsidR="00515BC0" w:rsidRPr="00515BC0" w:rsidRDefault="00515BC0" w:rsidP="00515B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Продуктивність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праці робітника залежить і від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правильної організації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 робочого місця. Кожен член бригади має заздалегідь турбуватися  про підготовку робочого місця, щоб не було простоїв.  Механізми, пристрої ,інструменти і матеріали  на робочому місці розміщують так, щоб під час роботи не доводилось робити зайвих рухів.                                  На робочому місці не повинно бути будівельного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сміття,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зайвих  матеріалів ,які заважатимуть пересуванню робітників. Для виконання робіт на висоті  потрібно встановити на робочому місці потрібні пристрої, а на них у зручних для роботи місцях – ящики для розчину або тару  для малярних сумішей. Під час виконання роботи обов’язково слід дотримуватися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правил безпеки праці і виробничої санітарії.</w:t>
      </w:r>
    </w:p>
    <w:p w:rsidR="00515BC0" w:rsidRPr="00515BC0" w:rsidRDefault="00515BC0" w:rsidP="00515B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        Робоче місце маляра повинно бути добре освітлене і мати вентиляцію.</w:t>
      </w:r>
    </w:p>
    <w:p w:rsidR="00515BC0" w:rsidRPr="00515BC0" w:rsidRDefault="00515BC0" w:rsidP="00515BC0">
      <w:pPr>
        <w:tabs>
          <w:tab w:val="left" w:pos="98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2. Безпека праці під час фарбувальних робіт:</w:t>
      </w:r>
    </w:p>
    <w:p w:rsidR="00515BC0" w:rsidRPr="00515BC0" w:rsidRDefault="00515BC0" w:rsidP="00515B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Виконавець малярних робіт має знати специфічні умови </w:t>
      </w:r>
      <w:proofErr w:type="spellStart"/>
      <w:r w:rsidRPr="00515BC0">
        <w:rPr>
          <w:rFonts w:ascii="Times New Roman" w:hAnsi="Times New Roman" w:cs="Times New Roman"/>
          <w:sz w:val="24"/>
          <w:szCs w:val="24"/>
          <w:lang w:val="uk-UA"/>
        </w:rPr>
        <w:t>умови</w:t>
      </w:r>
      <w:proofErr w:type="spellEnd"/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та техніку безпеки роботи маляра. До загальних правил відносять вимоги виконання правил  внутрішнього розпорядку та трудової дисципліни, </w:t>
      </w:r>
      <w:proofErr w:type="spellStart"/>
      <w:r w:rsidRPr="00515BC0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515BC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15BC0">
        <w:rPr>
          <w:rFonts w:ascii="Times New Roman" w:hAnsi="Times New Roman" w:cs="Times New Roman"/>
          <w:sz w:val="24"/>
          <w:szCs w:val="24"/>
          <w:lang w:val="uk-UA"/>
        </w:rPr>
        <w:t>язкове</w:t>
      </w:r>
      <w:proofErr w:type="spellEnd"/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 використання індивідуальних засобів захисту, вимоги безпеки праці під час роботи на висоті. </w:t>
      </w:r>
    </w:p>
    <w:p w:rsidR="00515BC0" w:rsidRDefault="00515BC0" w:rsidP="00515BC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sz w:val="24"/>
          <w:szCs w:val="24"/>
          <w:lang w:val="uk-UA"/>
        </w:rPr>
        <w:t>Основними причинами  травматизму під час фарбування є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неврахування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дії шкідливих факторів та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нехтування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заходами для їх попередження. Більшість фарбових сумішей, у яких розчинниками є рідини , які, виготовлені на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свинцевих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мідних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пігментах чи із застосуванням бензолу, -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отруйні.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Отруйні речовини потрапляють до організму людини через органи  дихання, шкіру та шлунок. Під час виконання малярних робіт усередині приміщення олійними фарбами  має бути забезпечена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природна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чи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штучна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вентиляція.                                                                                                                                   </w:t>
      </w:r>
    </w:p>
    <w:p w:rsidR="00515BC0" w:rsidRPr="00515BC0" w:rsidRDefault="00515BC0" w:rsidP="00515B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До початку   роботи потрібно користуватися захисними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кремами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пастами.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Після роботи необхідно дотримуватися правил особистої гігієни, ретельно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вимити руки, обличчя.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Електропроводка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в приміщеннях, де фарбують водними сумішами, на час  малярних робіт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відключається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. Перед тим, як розпочати працювати з хімічними речовинами , уважно 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прочитайте інструкції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до них. Перш ніж викинути ганчірки, просочені розчинниками. Їх висушують.</w:t>
      </w:r>
    </w:p>
    <w:p w:rsidR="00515BC0" w:rsidRPr="00515BC0" w:rsidRDefault="00515BC0" w:rsidP="00515B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3. Закріплення матеріалу;  « Рішити ребус»</w:t>
      </w:r>
      <w:r w:rsidRPr="00515BC0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</w:t>
      </w:r>
    </w:p>
    <w:p w:rsidR="00515BC0" w:rsidRPr="00515BC0" w:rsidRDefault="00515BC0" w:rsidP="00515BC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О П У Д Т К И Н В І Т С Ь   Е З Б Е П К А     В Р И Б О И Ч Н А </w:t>
      </w:r>
      <w:proofErr w:type="spellStart"/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І Н А І Р Я Т    О Р У Т Н Й І</w:t>
      </w:r>
    </w:p>
    <w:p w:rsidR="00515BC0" w:rsidRPr="00515BC0" w:rsidRDefault="00515BC0" w:rsidP="00515BC0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О В О Я К З О Е В    Н В Р Е А У Х А В Н Я Н     </w:t>
      </w:r>
      <w:proofErr w:type="spellStart"/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 Х У ТА В Н Я Н    В И С Ц Н Е И В Х</w:t>
      </w:r>
    </w:p>
    <w:p w:rsidR="00515BC0" w:rsidRPr="00515BC0" w:rsidRDefault="00515BC0" w:rsidP="00515BC0">
      <w:pPr>
        <w:tabs>
          <w:tab w:val="left" w:pos="6696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Е Н В И Т Я Л І Я Ц    Р И П О Р Н Д А    Т Ш Ч У А Н    К Е И Р М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А С Т П И</w:t>
      </w:r>
    </w:p>
    <w:p w:rsidR="00515BC0" w:rsidRPr="00515BC0" w:rsidRDefault="00515BC0" w:rsidP="00515BC0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Е К Т Е Л Р П О Р В Д О А О К</w:t>
      </w:r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О Л Б Ч И Ч Я     І Д В Л К Ю Е Ч Н Я Н      </w:t>
      </w:r>
      <w:proofErr w:type="spellStart"/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515B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І Т У Р Ц К Ї І   </w:t>
      </w:r>
    </w:p>
    <w:sectPr w:rsidR="00515BC0" w:rsidRPr="0051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A9"/>
    <w:rsid w:val="002D27A9"/>
    <w:rsid w:val="00515BC0"/>
    <w:rsid w:val="00B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4A31"/>
  <w15:chartTrackingRefBased/>
  <w15:docId w15:val="{9025FF1C-EFF9-48F2-B0C3-0BC0348F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2020-04-20T17:55:00Z</dcterms:created>
  <dcterms:modified xsi:type="dcterms:W3CDTF">2020-04-20T17:55:00Z</dcterms:modified>
</cp:coreProperties>
</file>