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1C" w:rsidRPr="007B211C" w:rsidRDefault="007B211C" w:rsidP="007B211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 14.04.2020р.  Тема уроку:  « Способи  розрівнювання розчинової суміші </w:t>
      </w:r>
    </w:p>
    <w:p w:rsidR="007B211C" w:rsidRPr="007B211C" w:rsidRDefault="007B211C" w:rsidP="007B211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на стелі  соколом»</w:t>
      </w:r>
    </w:p>
    <w:p w:rsidR="007B211C" w:rsidRPr="007B211C" w:rsidRDefault="007B211C" w:rsidP="007B211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7B211C" w:rsidRPr="007B211C" w:rsidRDefault="007B211C" w:rsidP="007B211C">
      <w:pPr>
        <w:tabs>
          <w:tab w:val="left" w:pos="103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b/>
          <w:sz w:val="24"/>
          <w:szCs w:val="24"/>
          <w:lang w:val="uk-UA"/>
        </w:rPr>
        <w:tab/>
        <w:t>1. Способи розрівнювання суміші на стелі соколом:</w:t>
      </w:r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( записати в зошит)</w:t>
      </w:r>
    </w:p>
    <w:p w:rsidR="007B211C" w:rsidRPr="007B211C" w:rsidRDefault="007B211C" w:rsidP="007B21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Після нанесення кожного шару розчину , крім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цого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потрібно розрівняти. Розрівнюють розчин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напівтерками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, правилом та соколом. Соколом розрівнюють шар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простої штукатурки. Під час виконання штукатурки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на поверхні розрівнюють соколом. Приставляють сокіл під кутом до поверхні так. щоб верхній бік його був на відстані 5-10см від поверхні, а нижній – на відстані, що дорівнює товщині шару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. Притиснувши  цей бік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кельмою , його пересувають уздовж поверхні, поступово зменшуючи кут нахилу 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. При розрівнюванні розчину на стелі – виконують рухом на себе. Під час руху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розчин  рівномірно розрівнюється по поверхні. Розрівнювання  розчину на стелі можна виконувати прямолінійними або хвилеподібними рухами. Послідовність прямолінійними рухами </w:t>
      </w:r>
      <w:proofErr w:type="spellStart"/>
      <w:r w:rsidRPr="007B211C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на стелі виконують зліва направо чи знизу догори  або упоперек першому напрямку.</w:t>
      </w:r>
      <w:bookmarkStart w:id="0" w:name="_GoBack"/>
      <w:bookmarkEnd w:id="0"/>
    </w:p>
    <w:p w:rsidR="007B211C" w:rsidRPr="007B211C" w:rsidRDefault="007B211C" w:rsidP="007B21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1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2. Закріплення матеріалу; « Рішити криптограму»</w:t>
      </w:r>
      <w:r w:rsidRPr="007B211C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7B211C" w:rsidRPr="007B211C" w:rsidRDefault="007B211C" w:rsidP="007B21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211C" w:rsidRPr="00627883" w:rsidRDefault="007B211C" w:rsidP="007B211C">
      <w:pPr>
        <w:rPr>
          <w:sz w:val="24"/>
          <w:szCs w:val="24"/>
          <w:lang w:val="uk-UA"/>
        </w:rPr>
      </w:pPr>
    </w:p>
    <w:p w:rsidR="007B211C" w:rsidRPr="00627883" w:rsidRDefault="007B211C" w:rsidP="007B211C">
      <w:pPr>
        <w:rPr>
          <w:sz w:val="24"/>
          <w:szCs w:val="24"/>
          <w:lang w:val="uk-UA"/>
        </w:rPr>
      </w:pPr>
    </w:p>
    <w:p w:rsidR="007B211C" w:rsidRPr="00627883" w:rsidRDefault="007B211C" w:rsidP="007B211C">
      <w:pPr>
        <w:tabs>
          <w:tab w:val="left" w:pos="33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7B211C" w:rsidTr="00563B75">
        <w:trPr>
          <w:trHeight w:val="427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7B211C" w:rsidTr="00563B75">
        <w:trPr>
          <w:trHeight w:val="419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</w:tr>
      <w:tr w:rsidR="007B211C" w:rsidTr="00563B75">
        <w:trPr>
          <w:trHeight w:val="411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</w:tr>
      <w:tr w:rsidR="007B211C" w:rsidTr="00563B75">
        <w:trPr>
          <w:trHeight w:val="418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</w:tr>
      <w:tr w:rsidR="007B211C" w:rsidTr="00563B75">
        <w:trPr>
          <w:trHeight w:val="410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7B211C" w:rsidTr="00563B75">
        <w:trPr>
          <w:trHeight w:val="415"/>
        </w:trPr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B211C" w:rsidRDefault="007B211C" w:rsidP="00563B75">
            <w:pPr>
              <w:tabs>
                <w:tab w:val="left" w:pos="338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</w:tbl>
    <w:p w:rsidR="007B211C" w:rsidRDefault="007B211C" w:rsidP="007B211C">
      <w:pPr>
        <w:tabs>
          <w:tab w:val="left" w:pos="3384"/>
        </w:tabs>
        <w:rPr>
          <w:sz w:val="24"/>
          <w:szCs w:val="24"/>
          <w:lang w:val="uk-UA"/>
        </w:rPr>
      </w:pPr>
    </w:p>
    <w:p w:rsidR="007B211C" w:rsidRPr="00ED6BD3" w:rsidRDefault="007B211C" w:rsidP="007B211C">
      <w:pPr>
        <w:rPr>
          <w:sz w:val="24"/>
          <w:szCs w:val="24"/>
          <w:lang w:val="uk-UA"/>
        </w:rPr>
      </w:pPr>
    </w:p>
    <w:p w:rsidR="007B211C" w:rsidRDefault="007B211C" w:rsidP="007B211C">
      <w:pPr>
        <w:rPr>
          <w:sz w:val="24"/>
          <w:szCs w:val="24"/>
          <w:lang w:val="uk-UA"/>
        </w:rPr>
      </w:pPr>
    </w:p>
    <w:p w:rsidR="007B211C" w:rsidRDefault="007B211C" w:rsidP="007B211C">
      <w:pPr>
        <w:tabs>
          <w:tab w:val="left" w:pos="23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                   </w:t>
      </w:r>
    </w:p>
    <w:p w:rsidR="007B211C" w:rsidRDefault="007B211C" w:rsidP="007B211C">
      <w:pPr>
        <w:ind w:firstLine="708"/>
        <w:rPr>
          <w:sz w:val="24"/>
          <w:szCs w:val="24"/>
          <w:lang w:val="uk-UA"/>
        </w:rPr>
      </w:pPr>
    </w:p>
    <w:p w:rsidR="007B211C" w:rsidRDefault="007B211C" w:rsidP="007B211C">
      <w:pPr>
        <w:ind w:firstLine="708"/>
        <w:rPr>
          <w:sz w:val="24"/>
          <w:szCs w:val="24"/>
          <w:lang w:val="uk-UA"/>
        </w:rPr>
      </w:pPr>
    </w:p>
    <w:p w:rsidR="00D533C1" w:rsidRDefault="00D533C1"/>
    <w:sectPr w:rsidR="00D5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B"/>
    <w:rsid w:val="007B211C"/>
    <w:rsid w:val="0089708B"/>
    <w:rsid w:val="00D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34A6-27E2-40DC-B13F-0E7D31E3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2020-04-13T13:59:00Z</dcterms:created>
  <dcterms:modified xsi:type="dcterms:W3CDTF">2020-04-13T13:59:00Z</dcterms:modified>
</cp:coreProperties>
</file>