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6" w:rsidRPr="00191106" w:rsidRDefault="00191106" w:rsidP="00191106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191106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Тема: </w:t>
      </w:r>
      <w:r w:rsidRPr="00191106">
        <w:rPr>
          <w:rFonts w:ascii="Times New Roman" w:hAnsi="Times New Roman" w:cs="Times New Roman"/>
          <w:b/>
          <w:bCs/>
          <w:sz w:val="32"/>
          <w:szCs w:val="28"/>
        </w:rPr>
        <w:t>Стан культури періоду десталінізацїї</w:t>
      </w:r>
    </w:p>
    <w:p w:rsidR="00191106" w:rsidRPr="00191106" w:rsidRDefault="00191106" w:rsidP="00191106">
      <w:pPr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b/>
          <w:bCs/>
          <w:sz w:val="28"/>
          <w:szCs w:val="28"/>
        </w:rPr>
        <w:t>1. Особливості розвитку культури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Вирішальною умовою суспільно-політичного життя, що визначила особливості розвитку культури із середини 1950-х років, стала десталінізація. Вона послабила параліч страху, який сковував усіх громадян у попередні десятиліття.</w:t>
      </w:r>
      <w:proofErr w:type="gramEnd"/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 1961 р. М. Хрущов започаткував нову хвилю десталінізації, вершиною якої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стало винесення труни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диктатора з кремлівського мавзолею. Того ж року М. Хрущов, демонструючи вагомість УРСР у сільськогосподарському виробництві СРСР, здійснив широко розрекламовану подорож до могили Тараса Шевченка.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Українські митці, насамперед письменники, в умовах десталінізації виступили за розширення меж творчого самовираження. Письменники старшого покоління продовжували вимагати реабілітації репресованих у 1920-1940-х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роках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колег. Так, навіть один з найстаранніших творців соцреалізму О. Корнійчук запропонував опублікувати твори репресованих Е. Блакитного, М. Куліша, Л. Курбаса та багатьох інших митці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, створивши «Бібліотеку видатних 1920-х».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Найвизначнішою особливістю розвитку культури стала поява нового покоління письменників, критиків і поетів. Вони вимагали не лише виправлення «перекручень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соц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іалізму» у минулому, а й недопущення пригнічень культури в майбутньому. Гарантією мав би стати «шлях повернення до правди». Схвильовано спостерігаючи за непослідовністю десталінізації, вони вимагали припинити втручання компартії в справи літератури й мистецтва, визнати право митців експериментувати з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ізними стилями, віддати українській мові головну роль в освітньому та культурному житті радянської України. Когорта митців-шістдесятників користувалася дедалі ширшою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ідтримкою серед молоді.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Поява нової потужної верстви інтелігенції та кваліфікованого робітництва з новими культурними запитами була пов’язана й із значними технологічними та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соц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іально-економічними змінами, що охопили післявоєнний світ. У виробництві з’явилися ядерні реактори, електронно-обчислювальні машини (ЕОМ), автоматичні й роботизовані системи, космічні апарати. Виникли нові виробництва, засновані на фізичних (лазерних, плазмових, електронно-променевих), хі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ічних, а згодом і біохімічних технологіях.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Фактом економічного життя стало перетворення науки на безпосередню продуктивну силу, що стрибкоподібно наростила виробничі потужності. Науково-технічна революція (НТР) розкривала перед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ітом нові можливості для розвитку. Уже в середині 1950-х років розвиток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пров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ідних держав світу продемонстрував радянському керівництву, що сталінська примітивна схема індустріалізації, базована на технологіях початку XX ст., несе СРСР загрозу економічного та військового відставання.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Це спонукало кремлівське керівництво зайнятися питаннями науково-технічної та промислової революції. Так, відбудова зруйнованої війною економіки, а тим більше впровадження НТР вимагали залучення до промислового виробництва дедалі більшого числа кваліфікованих робітників та інженерно-технічних працівників, а з ними розвитку середньої й вищої освіти.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Усе це працювало на розширення освітніх і культурних горизонтів українського суспільства.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Водночас цілком природно активізувалося і формування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характерного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для освічених і вільних людей критичного мислення. Цьому посприяло й викриття страхітливих злочинів сталінської доби, й одночасне збереження при владі старих «керівних кадрів», обмежених і безпорадних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справах управління новим виробництвом.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lastRenderedPageBreak/>
        <w:t xml:space="preserve">Збільшилася чисельність інтелігенції, працівників інтелектуальної сфери, з такими рисами, як наївний ідеалізм, віра в нездоланну силу розуму, власні можливості та наївна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іра в солодкі обіцянки влади, зокрема швидкої побудови комунізму. Свою згубну роль продовжувало відігравати тотальне панування комуністичної ідеології. Аналізуючи життя лише за допомогою марксистсько-ленінської методології, у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ідомості навіть найбільш критично налаштованих до радянської дійсності молодих інтелектуалів панували не революційні антирежимні настрої, а тверда переконаність у досягненні комуністичних ідеалів, необхідності лише реформ заради очищення т. зв. «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соц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іалістичного суспільства» від зловживань, бюрократизму, моральної та інтелектуальної обмеженості керівництва.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Атмосфера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критичного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ставлення до панівної верхівки не могла не стурбувати М. Хрущова та його кремлівське оточення. У грудні 1962 р. він, відвідавши виставку художників-авангардистів, почав критикувати формалі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ст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ів та абстракціоністів. Отримавши сигнал з Москви, партійні чиновники в Києві розпочали наступ на шістдесятників. Однак гасла боротьби з формалізмом в УРСР відійшли на задній план. Над українською культурою знову нависло зловісне звинувачення в «українському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буржуазному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націоналізмі».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таких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умовах розвивалася українська культура постсталінської доби.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b/>
          <w:bCs/>
          <w:sz w:val="24"/>
          <w:szCs w:val="28"/>
        </w:rPr>
        <w:t xml:space="preserve">2. Внесок українців у розвиток науки й </w:t>
      </w:r>
      <w:proofErr w:type="gramStart"/>
      <w:r w:rsidRPr="00191106">
        <w:rPr>
          <w:rFonts w:ascii="Times New Roman" w:hAnsi="Times New Roman" w:cs="Times New Roman"/>
          <w:b/>
          <w:bCs/>
          <w:sz w:val="24"/>
          <w:szCs w:val="28"/>
        </w:rPr>
        <w:t>техн</w:t>
      </w:r>
      <w:proofErr w:type="gramEnd"/>
      <w:r w:rsidRPr="00191106">
        <w:rPr>
          <w:rFonts w:ascii="Times New Roman" w:hAnsi="Times New Roman" w:cs="Times New Roman"/>
          <w:b/>
          <w:bCs/>
          <w:sz w:val="24"/>
          <w:szCs w:val="28"/>
        </w:rPr>
        <w:t>іки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2BCC91B4" wp14:editId="61FE718B">
            <wp:simplePos x="0" y="0"/>
            <wp:positionH relativeFrom="column">
              <wp:posOffset>-28575</wp:posOffset>
            </wp:positionH>
            <wp:positionV relativeFrom="paragraph">
              <wp:posOffset>1001395</wp:posOffset>
            </wp:positionV>
            <wp:extent cx="1105535" cy="1582420"/>
            <wp:effectExtent l="0" t="0" r="0" b="0"/>
            <wp:wrapTight wrapText="bothSides">
              <wp:wrapPolygon edited="0">
                <wp:start x="0" y="0"/>
                <wp:lineTo x="0" y="21323"/>
                <wp:lineTo x="21215" y="21323"/>
                <wp:lineTo x="21215" y="0"/>
                <wp:lineTo x="0" y="0"/>
              </wp:wrapPolygon>
            </wp:wrapTight>
            <wp:docPr id="4" name="Рисунок 4" descr="https://history.vn.ua/pidruchniki/strykevich-ukraine-history-11-class-2019-standard-level/strykevich-ukraine-history-11-class-2019-standard-level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0" descr="https://history.vn.ua/pidruchniki/strykevich-ukraine-history-11-class-2019-standard-level/strykevich-ukraine-history-11-class-2019-standard-level.files/image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06">
        <w:rPr>
          <w:rFonts w:ascii="Times New Roman" w:hAnsi="Times New Roman" w:cs="Times New Roman"/>
          <w:sz w:val="24"/>
          <w:szCs w:val="28"/>
        </w:rPr>
        <w:t xml:space="preserve">Українці зробила вагомий внесок у розвиток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ітової науки та техніки, працюючи в рамках радянського ВПК. Найвідомішим творцем балістичних і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косм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ічних ракет став житомирянин Сергій Корольов — засновник практичної космонавтики, очільник ракетної програми СРСР. Серед його досягнень — виведення на орбіту першого штучного супутника Землі (1957), політ першого космонавта (1961) і перший вихід людини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відкритий космос (1965).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191106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1954 р. найпотужнішим ракетно-космічним центром СРСР стало м. Дніпропетровськ, де розпочав роботу ракетний завод. Тут же працювало особливе конструкторське бюро (ОКБ)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ід керівництвом академіка Михайла Янгеля.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b/>
          <w:bCs/>
          <w:sz w:val="24"/>
          <w:szCs w:val="28"/>
        </w:rPr>
        <w:t>Сергій Корольов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Місто було вибране завдяки розгалуженій мережі вишів і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техн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ікумів, де можна було легко організувати підготовку потрібних науково-технічних кадрів. З 1962 р. ОКБ М. Янгеля зосередилося й на створенні космічної техніки. Того ж року був запущений штучний супутник Землі серії «Космос».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>Важливий внесок у розвиток кібернетики зробив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іктор Глушков, який очолював Обчислювальний центр АН УРСР, а згодом Інститут кібернетики.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ід його керівництвом було створене ціле покоління українських ЕОМ, написано й першу у світі «Енциклопедію кібернетики» у 2-х томах.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Українські вчені проводили фундаментальні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досл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ідження в новітніх галузях фізики (твердого тіла, низьких температур, напівпровідників, радіофізики, плазми й керованого термоядерного синтезу та ін.). Інститут фізики, досліджуючи атомне ядро, у 1960 р. ввів у дію ядерний реактор. Був створений Інститут напівпровідників. Учені Інституту синтетичних надтвердих матеріалів АН УРСР у 1961 р. вперше у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іті створили штучні алмази.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Учені Інституту електрозварювання імені Є. Патона займалися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спец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іальною електрометалургією, мікрозварюванням металів, «холодним» зварюванням. Видатним досягненням інституту стала </w:t>
      </w:r>
      <w:r w:rsidRPr="00191106">
        <w:rPr>
          <w:rFonts w:ascii="Times New Roman" w:hAnsi="Times New Roman" w:cs="Times New Roman"/>
          <w:sz w:val="24"/>
          <w:szCs w:val="28"/>
        </w:rPr>
        <w:lastRenderedPageBreak/>
        <w:t>розробка електрошлакового зварювання, яка на Всесвітній виставці в Брюсселі (1958) здобула Гран-прі.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b/>
          <w:bCs/>
          <w:sz w:val="24"/>
          <w:szCs w:val="28"/>
        </w:rPr>
        <w:t>3. Зміни в освіті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>Потреби НТР спонукали партійне керівництво до реформування школи. У грудні 1958 р. ухвалили закон «Про зміцнення зв’язку школи з життям і про подальший розвиток системи народної освіти в СРСР».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4A73B0E6" wp14:editId="535637BA">
            <wp:simplePos x="0" y="0"/>
            <wp:positionH relativeFrom="column">
              <wp:posOffset>3810</wp:posOffset>
            </wp:positionH>
            <wp:positionV relativeFrom="paragraph">
              <wp:posOffset>1211580</wp:posOffset>
            </wp:positionV>
            <wp:extent cx="2202815" cy="1916430"/>
            <wp:effectExtent l="0" t="0" r="6985" b="7620"/>
            <wp:wrapTight wrapText="bothSides">
              <wp:wrapPolygon edited="0">
                <wp:start x="0" y="0"/>
                <wp:lineTo x="0" y="21471"/>
                <wp:lineTo x="21482" y="21471"/>
                <wp:lineTo x="21482" y="0"/>
                <wp:lineTo x="0" y="0"/>
              </wp:wrapPolygon>
            </wp:wrapTight>
            <wp:docPr id="3" name="Рисунок 3" descr="https://history.vn.ua/pidruchniki/strykevich-ukraine-history-11-class-2019-standard-level/strykevich-ukraine-history-11-class-2019-standard-level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1" descr="https://history.vn.ua/pidruchniki/strykevich-ukraine-history-11-class-2019-standard-level/strykevich-ukraine-history-11-class-2019-standard-level.files/image0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06">
        <w:rPr>
          <w:rFonts w:ascii="Times New Roman" w:hAnsi="Times New Roman" w:cs="Times New Roman"/>
          <w:sz w:val="24"/>
          <w:szCs w:val="28"/>
        </w:rPr>
        <w:t xml:space="preserve">Низький життєвий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івень суспільства та відносно кращі умови життя соціальної верхівки спонукали молодь до навчання в середніх спеціальних і вищих навчальних закладах. Партійне керівництво вбачало в цьому певну загрозу й вимагало, як формулював М. Хрущов, «ліквідувати панське, зневажливе ставлення до фізичної праці». Тому, реформуючи школу, влада акцентувала насамперед на трудовому вихованні, полі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техн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ічній спрямованості та зв’язку навчання з виробництвом.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цією метою вже в початкових класах запроваджували уроки ручної праці, практичні заняття в майстернях і на навчально-дослідних ділянках, увели спеціальний предмет для навчання кулінарії, крою та шиття.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b/>
          <w:bCs/>
          <w:sz w:val="24"/>
          <w:szCs w:val="28"/>
        </w:rPr>
        <w:t xml:space="preserve">Професійна </w:t>
      </w:r>
      <w:proofErr w:type="gramStart"/>
      <w:r w:rsidRPr="00191106">
        <w:rPr>
          <w:rFonts w:ascii="Times New Roman" w:hAnsi="Times New Roman" w:cs="Times New Roman"/>
          <w:b/>
          <w:bCs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b/>
          <w:bCs/>
          <w:sz w:val="24"/>
          <w:szCs w:val="28"/>
        </w:rPr>
        <w:t>ідготовка учнів. Фото. 1960-і роки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Одночасно сформували систему профтехосвіти, куди приймали учнів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ісля 8 класу. У старших класах середньої школи разом з повного середньою освітою обов’язковим стало професійне виробниче навчання. Проте спрямування загальноосвітньої школи на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ідготовку масових робітничих професій суперечило як світовим тенденціям, так і потребам суспільства й особистості. До того ж нестача коштів спонукала владу з 1 вересня 1964 р. повернутися до 10-річного терміну навчання та припинення професійного виробничого навчання, яке рекомендували здійснювати «за наявності відповідних умов з урахуванням господарських потреб регіону», «у позакласній та гуртковій роботі» тощо.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b/>
          <w:bCs/>
          <w:sz w:val="24"/>
          <w:szCs w:val="28"/>
        </w:rPr>
        <w:t>4. Зросійщення (росіянізація, русифікація)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>Компартійна влада продовжувала традиційну імперську політику зросійщення, закамуфльовану в шати комуністичного будівництва та формування нової історичної спільності — радянського народу. Для цього використовували школу, ухваливши у квітні 1959 р. закон «Про зміцнення зв’язку школи з життям і про подальший розвиток народної освіти в Українській РСР».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Маніпулюючи правами громадян, київські маріонетки обґрунтовували московську імперську мовну політику правом батьків обирати мову навчання для дітей. В умовах панування російської в усіх сферах суспільного життя батьки, особливо у великих містах,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обирали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російську, яка, за їхнім колонізованим світоглядом, мала забезпечити дітям життєвий успіх.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 грудні 1958 р. у всесоюзній газеті «Правда» М. Бажан і М. Рильський опублікували статтю «В ім’я людини», у якій заперечили зведення української мови до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івня факультативу, не обов’язкового для вивчення. їх підтримали партійні збори київських письменників, записавши у резолюції: «Віддати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лише на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волю батьків вирішення питання, яку мову обов’язково вивчатимуть їхні діти, — не можна!»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Проте компартійна влада жорстко дотримувалася русифікаторського курсу. Якщо 1.09. 1951 р. в УРСР було 5551 україномовна школа (81,3% учнів) і 1207 російськомовних шкіл (17,3% учнів), то 1.09.1961 р. україномовних шкіл стало 4170 (64,5% учнів), а російськомовних 2000 (30,9% учнів). </w:t>
      </w:r>
      <w:r w:rsidRPr="00191106">
        <w:rPr>
          <w:rFonts w:ascii="Times New Roman" w:hAnsi="Times New Roman" w:cs="Times New Roman"/>
          <w:sz w:val="24"/>
          <w:szCs w:val="28"/>
        </w:rPr>
        <w:lastRenderedPageBreak/>
        <w:t xml:space="preserve">При цьому у 1959 р. українці становили 76,8 %, а росіяни — 16,9 % від усього населення УРСР.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Насамперед зросійщення зазнавали україномовні учні великих міст. Так, у 1958/1959 н. р. у Києві 26,8 % учнів навчалися українською й 73,1 % учнів — російською мовою, хоча українцями себе вважали 66 % киян.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Ситуацію в ряді інших мі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ст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України демонструє таблиця.</w:t>
      </w:r>
    </w:p>
    <w:tbl>
      <w:tblPr>
        <w:tblW w:w="977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115"/>
      </w:tblGrid>
      <w:tr w:rsidR="00191106" w:rsidRPr="00191106" w:rsidTr="00191106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Місто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Учнів українських шкіл</w:t>
            </w:r>
            <w:proofErr w:type="gramStart"/>
            <w:r w:rsidRPr="001911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Учні</w:t>
            </w:r>
            <w:proofErr w:type="gramStart"/>
            <w:r w:rsidRPr="001911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 рос</w:t>
            </w:r>
            <w:proofErr w:type="gramEnd"/>
            <w:r w:rsidRPr="001911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ійських шкіл (%)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Питома вага українці</w:t>
            </w:r>
            <w:proofErr w:type="gramStart"/>
            <w:r w:rsidRPr="001911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</w:t>
            </w:r>
            <w:proofErr w:type="gramEnd"/>
            <w:r w:rsidRPr="001911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(%)</w:t>
            </w:r>
          </w:p>
        </w:tc>
      </w:tr>
      <w:tr w:rsidR="00191106" w:rsidRPr="00191106" w:rsidTr="00191106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Харків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4,9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95,1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</w:tr>
      <w:tr w:rsidR="00191106" w:rsidRPr="00191106" w:rsidTr="00191106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Одеса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8,1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91,9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191106" w:rsidRPr="00191106" w:rsidTr="00191106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Дніпропетровськ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17,4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82,6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191106" w:rsidRPr="00191106" w:rsidTr="00191106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Донецьк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98,8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</w:tr>
      <w:tr w:rsidR="00191106" w:rsidRPr="00191106" w:rsidTr="00191106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Луганськ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6,5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93,5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191106" w:rsidRDefault="00191106" w:rsidP="0019110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106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</w:tbl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 Кримській області лише 3 школи навчали 600 учнів української мови. Разом з міськими поступово запроваджували російську мову в сільських школах на сході та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івдні України, Чернігівщині й Сумщині.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Зросійщення</w:t>
      </w:r>
      <w:r w:rsidRPr="00191106">
        <w:rPr>
          <w:rFonts w:ascii="Times New Roman" w:hAnsi="Times New Roman" w:cs="Times New Roman"/>
          <w:i/>
          <w:iCs/>
          <w:sz w:val="24"/>
          <w:szCs w:val="28"/>
        </w:rPr>
        <w:t xml:space="preserve"> — імперська колонізаторська політика позбавлення народів СРСР власної ідентичності, уподібнення їх </w:t>
      </w:r>
      <w:proofErr w:type="gramStart"/>
      <w:r w:rsidRPr="00191106">
        <w:rPr>
          <w:rFonts w:ascii="Times New Roman" w:hAnsi="Times New Roman" w:cs="Times New Roman"/>
          <w:i/>
          <w:iCs/>
          <w:sz w:val="24"/>
          <w:szCs w:val="28"/>
        </w:rPr>
        <w:t>до рос</w:t>
      </w:r>
      <w:proofErr w:type="gramEnd"/>
      <w:r w:rsidRPr="00191106">
        <w:rPr>
          <w:rFonts w:ascii="Times New Roman" w:hAnsi="Times New Roman" w:cs="Times New Roman"/>
          <w:i/>
          <w:iCs/>
          <w:sz w:val="24"/>
          <w:szCs w:val="28"/>
        </w:rPr>
        <w:t>ійського народу.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 1963 р. в Київському державному університеті ім. Т. Г. Шевченка відбулася республіканська конференція з питань культури української мови, у роботі якої взяли участь понад 800 учителів, письменників і науковців. Більшість з них засудила політику двомовності, доводила необхідність якнайширшого використання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ідної мови. Конференція перетворилася на відкритий виступ проти асиміляційної політики влади, але компартійна влада проігнорувала думку інтелігенції й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дал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 проводила політику зросійщення.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Засобом дедалі активнішого зросійщення став розвиток радянської російськомовної масової культури,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іноіндустрії та телебачення. Діти дивилися російськомовні мультфільми, слухали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існі, вірші, афоризми й життєві повчання російською мовою тощо. На молодь зі ЗМІ щедро лилася суспільно-політична, побутова й лірична лексика, а на виробництві —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техн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ічна. Спочатку молодь намагалася розмовляти українською, синхронно перекладаючи почуті й мимоволі засвоєні чужомовні формулювання. Але, зрештою,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іддавалася «диктатурі» інформаційного середовища: модних пісень, яскравих фраз улюблених кіногероїв тощо.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>Русифікація здійснювалося також через видання російськомовних книжок, газет і журналів, службу в радянській армії, найменування мі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ст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, сіл, вулиць, підприємств, навіть найменування різноманітних товарів.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Зросійщенню сприяла й демографічна політика Москви. Протягом 1959-1970 рр. в українські міста, насамперед у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івденно-східних областях, було переселено 2 млн росіян.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b/>
          <w:bCs/>
          <w:i/>
          <w:iCs/>
          <w:sz w:val="24"/>
          <w:szCs w:val="28"/>
        </w:rPr>
        <w:t>Історичне джерело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i/>
          <w:iCs/>
          <w:sz w:val="24"/>
          <w:szCs w:val="28"/>
        </w:rPr>
        <w:t xml:space="preserve">Про реакцію на тогочасну політику зросійщення йдеться в «Листі творчої молоді Дніпропетровська», який </w:t>
      </w:r>
      <w:proofErr w:type="gramStart"/>
      <w:r w:rsidRPr="00191106">
        <w:rPr>
          <w:rFonts w:ascii="Times New Roman" w:hAnsi="Times New Roman" w:cs="Times New Roman"/>
          <w:i/>
          <w:iCs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i/>
          <w:iCs/>
          <w:sz w:val="24"/>
          <w:szCs w:val="28"/>
        </w:rPr>
        <w:t>ідписаний 300 особами.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i/>
          <w:iCs/>
          <w:sz w:val="24"/>
          <w:szCs w:val="28"/>
        </w:rPr>
        <w:t xml:space="preserve">Автори пишуть про трагедію мільйонного міста, у якому «немає жодного українського дитячого садка чи ясел, жодної повністю української школи, жодного вишу чи </w:t>
      </w:r>
      <w:proofErr w:type="gramStart"/>
      <w:r w:rsidRPr="00191106">
        <w:rPr>
          <w:rFonts w:ascii="Times New Roman" w:hAnsi="Times New Roman" w:cs="Times New Roman"/>
          <w:i/>
          <w:iCs/>
          <w:sz w:val="24"/>
          <w:szCs w:val="28"/>
        </w:rPr>
        <w:t>техн</w:t>
      </w:r>
      <w:proofErr w:type="gramEnd"/>
      <w:r w:rsidRPr="00191106">
        <w:rPr>
          <w:rFonts w:ascii="Times New Roman" w:hAnsi="Times New Roman" w:cs="Times New Roman"/>
          <w:i/>
          <w:iCs/>
          <w:sz w:val="24"/>
          <w:szCs w:val="28"/>
        </w:rPr>
        <w:t xml:space="preserve">ікуму з викладанням українською мовою... Українські робітники майже не знають своєї </w:t>
      </w:r>
      <w:proofErr w:type="gramStart"/>
      <w:r w:rsidRPr="00191106">
        <w:rPr>
          <w:rFonts w:ascii="Times New Roman" w:hAnsi="Times New Roman" w:cs="Times New Roman"/>
          <w:i/>
          <w:iCs/>
          <w:sz w:val="24"/>
          <w:szCs w:val="28"/>
        </w:rPr>
        <w:t>р</w:t>
      </w:r>
      <w:proofErr w:type="gramEnd"/>
      <w:r w:rsidRPr="00191106">
        <w:rPr>
          <w:rFonts w:ascii="Times New Roman" w:hAnsi="Times New Roman" w:cs="Times New Roman"/>
          <w:i/>
          <w:iCs/>
          <w:sz w:val="24"/>
          <w:szCs w:val="28"/>
        </w:rPr>
        <w:t>ідної мови, рідної культури, бо змушені все своє життя перемелюватися в надійних, як і 50 років тому, жорнах русифікації».</w:t>
      </w:r>
    </w:p>
    <w:p w:rsidR="00191106" w:rsidRDefault="00191106" w:rsidP="00191106">
      <w:pPr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b/>
          <w:bCs/>
          <w:sz w:val="24"/>
          <w:szCs w:val="28"/>
        </w:rPr>
        <w:lastRenderedPageBreak/>
        <w:t>5. Антирелігійна кампанія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191106">
        <w:rPr>
          <w:rFonts w:ascii="Times New Roman" w:hAnsi="Times New Roman" w:cs="Times New Roman"/>
          <w:sz w:val="24"/>
          <w:szCs w:val="28"/>
        </w:rPr>
        <w:t>У пер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іод десталінізації, незважаючи на лібералізацію суспільно-політичного життя, компартійне керівництво розглядало церкву як свого ворога. Адже вона мала свої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св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ітогляд, ідеологію та не збиралася ними поступатися.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початку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«відлиги» влада дещо послабила контроль за церквою. У листопаді 1954 р. була ухвалена постанова ЦК КПРС «Про помилки в проведенні науково-атеїстичної пропаганди серед населення», яка застерігала від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адм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іністративного втручання в діяльність церкви. У середині 1950-х років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Україні кількість церков і чисельність православного духівництва навіть дещо збільшилася. Почали повертатися репресовані священики.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Окремі сільські громади подавали до органів влади заяви про реєстрацію греко-католицьких парафій, мотивуючи це тим, що ліквідацію унії здійснювали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адм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іністративними методами. Священики УГКЦ, які повернулися з ув’язнення, їздили містами й селами, вивчали настрої населення, налагоджували необхідні контакти. На думку радянських спецслужб, цією діяльністю керував митрополит Й. Сліпий, який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ісля відбуття ув’язнення перебував у будинку інвалідів у Красноярському краї (РФ).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 жовтні 1958 р. з’явилася таємна постанова ЦК КПРС «Про недоліки атеїстичної пропаганди». Вона зобов’язувала всі партійні й громадські організації розгорнути наступ на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рел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ігійні «пережитки» радянських людей. Уряд ухвалив низку постанов, які мали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мет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 ослабити економічну основу церкви. Знову запроваджували скасовані в 1945 р. податок з будівель і земельну ренту. Монастирям заборонили користуватися найманою працею,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ідвищили податок на виробництво та продаж свічок, що зменшувало надходження коштів до релігійних організацій. Керівництво всіх союзних республік отримало конкретні інструкції, як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ідривати основи церкви: домагатися скорочення й повного припинення клопотань про відкриття церков; не допускати священиків у парафії, які занепадають, після чого знімати з обліку церковні громади; припинити надання церквою допомоги віруючим тощо. В УРСР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ід час виконання цих інструкцій грубо порушували права та свободи громадян та їхніх релігійних об’єднань. У храмах і помешканнях парафіян проводили обшуки; священикам відмовляли в прописці за місцем проживання; для працівників з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рел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ігійними переконаннями створювали нестерпні умови на роботі. Вірян притягували до кримінальної відповідальності за вигаданими звинуваченнями в «ледарстві» тощо. В Україні щорічно зростала кількість закритих храмів і молитовних будинкі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b/>
          <w:bCs/>
          <w:i/>
          <w:iCs/>
          <w:sz w:val="24"/>
          <w:szCs w:val="28"/>
        </w:rPr>
        <w:t>Історичний факт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i/>
          <w:iCs/>
          <w:sz w:val="24"/>
          <w:szCs w:val="28"/>
        </w:rPr>
        <w:t xml:space="preserve">Унаслідок масованого наступу на церкву протягом 1957-1964 рр. майже половина церковних громад України залишилися без храмів, дві третини монастирів припинили </w:t>
      </w:r>
      <w:proofErr w:type="gramStart"/>
      <w:r w:rsidRPr="00191106">
        <w:rPr>
          <w:rFonts w:ascii="Times New Roman" w:hAnsi="Times New Roman" w:cs="Times New Roman"/>
          <w:i/>
          <w:iCs/>
          <w:sz w:val="24"/>
          <w:szCs w:val="28"/>
        </w:rPr>
        <w:t>свою</w:t>
      </w:r>
      <w:proofErr w:type="gramEnd"/>
      <w:r w:rsidRPr="00191106">
        <w:rPr>
          <w:rFonts w:ascii="Times New Roman" w:hAnsi="Times New Roman" w:cs="Times New Roman"/>
          <w:i/>
          <w:iCs/>
          <w:sz w:val="24"/>
          <w:szCs w:val="28"/>
        </w:rPr>
        <w:t xml:space="preserve"> діяльність.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На думку М. Хрущова, комунізм був неможливий без перемоги над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рел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ігією, тому нова програма КПРС вимагала активізації наступу на церкву. Він супроводжувався пропагандистською роботою через газети, радіо, лекторії, будинки культури та клуби. У навчальних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закладах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було запроваджено навчальну дисципліну «науковий атеїзм». Письменникі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зобов’язували писати твори атеїстичного спрямування, учителів — здійснювати атеїстичне виховання учнів.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Це все привело до виникнення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рел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ігійного дисидентства. Віруючі виступали проти масового закриття церков і монастирів. Найсміливіші священики — єпископ полтавський та кременчуцький Феодосій та священики-правозахисники П. Здрилюк і В. Романюк — відкрито виступали проти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грубого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втручання держави в справи церкви, ставали на захист прав віруючих.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13C4769" wp14:editId="208C5226">
            <wp:simplePos x="0" y="0"/>
            <wp:positionH relativeFrom="column">
              <wp:posOffset>1601470</wp:posOffset>
            </wp:positionH>
            <wp:positionV relativeFrom="paragraph">
              <wp:posOffset>11430</wp:posOffset>
            </wp:positionV>
            <wp:extent cx="1129030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138" y="21325"/>
                <wp:lineTo x="21138" y="0"/>
                <wp:lineTo x="0" y="0"/>
              </wp:wrapPolygon>
            </wp:wrapTight>
            <wp:docPr id="1" name="Рисунок 1" descr="https://history.vn.ua/pidruchniki/strykevich-ukraine-history-11-class-2019-standard-level/strykevich-ukraine-history-11-class-2019-standard-level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3" descr="https://history.vn.ua/pidruchniki/strykevich-ukraine-history-11-class-2019-standard-level/strykevich-ukraine-history-11-class-2019-standard-level.files/image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06">
        <w:rPr>
          <w:rFonts w:ascii="Times New Roman" w:hAnsi="Times New Roman" w:cs="Times New Roman"/>
          <w:sz w:val="24"/>
          <w:szCs w:val="28"/>
        </w:rPr>
        <w:drawing>
          <wp:inline distT="0" distB="0" distL="0" distR="0" wp14:anchorId="1C2EB3E5" wp14:editId="46B823A5">
            <wp:extent cx="1097280" cy="1454785"/>
            <wp:effectExtent l="0" t="0" r="7620" b="0"/>
            <wp:docPr id="2" name="Рисунок 2" descr="https://history.vn.ua/pidruchniki/strykevich-ukraine-history-11-class-2019-standard-level/strykevich-ukraine-history-11-class-2019-standard-level.files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2" descr="https://history.vn.ua/pidruchniki/strykevich-ukraine-history-11-class-2019-standard-level/strykevich-ukraine-history-11-class-2019-standard-level.files/image0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191106">
        <w:rPr>
          <w:rFonts w:ascii="Times New Roman" w:hAnsi="Times New Roman" w:cs="Times New Roman"/>
          <w:b/>
          <w:bCs/>
          <w:sz w:val="24"/>
          <w:szCs w:val="28"/>
        </w:rPr>
        <w:t>Василь Романюк</w:t>
      </w: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                    </w:t>
      </w:r>
      <w:r w:rsidRPr="00191106">
        <w:rPr>
          <w:rFonts w:ascii="Times New Roman" w:hAnsi="Times New Roman" w:cs="Times New Roman"/>
          <w:b/>
          <w:bCs/>
          <w:sz w:val="24"/>
          <w:szCs w:val="28"/>
        </w:rPr>
        <w:t>Іван Гель</w:t>
      </w:r>
    </w:p>
    <w:p w:rsidR="00191106" w:rsidRPr="00191106" w:rsidRDefault="00191106" w:rsidP="001911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 цій боротьбі кував свою волю й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віру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подвижник Української автокефальної православної церкви (УАПЦ) протоієрей Василь Романюк, майбутній Київський патріарх. За правозахисну діяльність він багато років перебував у концтаборах і засланні, там протестував проти переслідувань вірян.</w:t>
      </w:r>
    </w:p>
    <w:p w:rsidR="00191106" w:rsidRPr="00191106" w:rsidRDefault="00191106" w:rsidP="001911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Студент Львівського університету, поширювач літератури «самвидаву» (майбутній правозахисник, дисидент, політик, публіцист,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рел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ігійний діяч, один із засновників Української Гельсинської спілки) Іван Гель у 1967 р. двічі звертався з листами на захист УГКЦ до президії Верховної ради УРСР.</w:t>
      </w:r>
    </w:p>
    <w:p w:rsidR="00191106" w:rsidRPr="00191106" w:rsidRDefault="00191106" w:rsidP="001911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Ідеологічне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ідґрунтя релігійного дисидентства зміцнювали богословськими творами Й. Сліпий, В. Величківський, Р. Бахталовський.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b/>
          <w:bCs/>
          <w:sz w:val="24"/>
          <w:szCs w:val="28"/>
        </w:rPr>
        <w:t>6. Повсякденне життя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Скорочення витрат на армію суттєво позначилося на життєвому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івні та повсякденному житті всіх мешканців СРСР, уключаючи й українців. Насамперед це вплинуло на містян, значна частина яких отримала постійне житло. І хоча малометражні квартири мали тісні кухні, поєднані санвузли, занижені стелі, завужені проходи, погану звукоізоляцію та зведені до фізіологічного мінімуму кімнати, про них мріяли мільйони мешканців комунальних квартир,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ідвалів і бараків. Протягом 1956-1964 рр. в УРСР житла було збудовано більше, ніж за 40 попередніх років. Мільйони людей покращили житлові умови.</w:t>
      </w:r>
    </w:p>
    <w:p w:rsidR="00191106" w:rsidRPr="00191106" w:rsidRDefault="00191106" w:rsidP="00191106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ідвищення заробітної платні та пенсій посилило купівельну спроможність людей. Збільшилося споживання висококалорійних і повноцінних продуктів: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м’яса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, молока й риби. Уряд розпочав закупівлю харчі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за кордоном. На прилавках з’явилися навіть такі екзотичні на той час фрукти, як апельсини та лимони.</w:t>
      </w:r>
    </w:p>
    <w:p w:rsidR="00191106" w:rsidRPr="00191106" w:rsidRDefault="00191106" w:rsidP="001911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Унаслідок розвитку легкої промисловості українці отримали можливість купувати більше швейних виробів, культтоварів. З 1950-х років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оселях стали з’являтися холодильники, швейні та пральні машини, телевізори, радіоприймачі, магнітофони.</w:t>
      </w:r>
    </w:p>
    <w:p w:rsidR="00191106" w:rsidRPr="00191106" w:rsidRDefault="00191106" w:rsidP="001911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1106">
        <w:rPr>
          <w:rFonts w:ascii="Times New Roman" w:hAnsi="Times New Roman" w:cs="Times New Roman"/>
          <w:sz w:val="24"/>
          <w:szCs w:val="28"/>
        </w:rPr>
        <w:t xml:space="preserve">Хоча реформи М. Хрущова не мали сподіваних результатів, усе ж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вони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 xml:space="preserve"> сприяли суттєвим змінам у житті українського суспільства. Контраст зі сталінською добою був дуже значним. Проте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івень життя людей в УРСР різко контрастував з європейським.</w:t>
      </w:r>
    </w:p>
    <w:p w:rsidR="00191106" w:rsidRDefault="00191106" w:rsidP="00191106">
      <w:pPr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191106" w:rsidRPr="00191106" w:rsidRDefault="00191106" w:rsidP="00191106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191106">
        <w:rPr>
          <w:rFonts w:ascii="Times New Roman" w:hAnsi="Times New Roman" w:cs="Times New Roman"/>
          <w:b/>
          <w:bCs/>
          <w:sz w:val="32"/>
          <w:szCs w:val="28"/>
          <w:lang w:val="uk-UA"/>
        </w:rPr>
        <w:t>Домашнє завдання</w:t>
      </w:r>
    </w:p>
    <w:p w:rsidR="00191106" w:rsidRPr="00191106" w:rsidRDefault="00191106" w:rsidP="0019110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</w:t>
      </w:r>
      <w:r w:rsidRPr="00191106">
        <w:rPr>
          <w:rFonts w:ascii="Times New Roman" w:hAnsi="Times New Roman" w:cs="Times New Roman"/>
          <w:sz w:val="24"/>
          <w:szCs w:val="28"/>
        </w:rPr>
        <w:t xml:space="preserve">. Визначте внесок українських учених у розвиток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іслявоєнних науки й техніки.</w:t>
      </w:r>
    </w:p>
    <w:p w:rsidR="00191106" w:rsidRPr="00191106" w:rsidRDefault="00191106" w:rsidP="0019110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Pr="00191106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Назв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іть характерні ознаки повсякденного життя. Укажіть на його контрастні прояви.</w:t>
      </w:r>
    </w:p>
    <w:p w:rsidR="00191106" w:rsidRPr="00191106" w:rsidRDefault="00191106" w:rsidP="00191106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3</w:t>
      </w:r>
      <w:r w:rsidRPr="00191106">
        <w:rPr>
          <w:rFonts w:ascii="Times New Roman" w:hAnsi="Times New Roman" w:cs="Times New Roman"/>
          <w:sz w:val="24"/>
          <w:szCs w:val="28"/>
        </w:rPr>
        <w:t>. Визначте причини та наслідки посилення зросійщення українського суспільства.</w:t>
      </w:r>
    </w:p>
    <w:p w:rsidR="002C27FF" w:rsidRPr="00191106" w:rsidRDefault="00191106" w:rsidP="00191106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4</w:t>
      </w:r>
      <w:bookmarkStart w:id="0" w:name="_GoBack"/>
      <w:bookmarkEnd w:id="0"/>
      <w:r w:rsidRPr="00191106">
        <w:rPr>
          <w:rFonts w:ascii="Times New Roman" w:hAnsi="Times New Roman" w:cs="Times New Roman"/>
          <w:sz w:val="24"/>
          <w:szCs w:val="28"/>
        </w:rPr>
        <w:t>. Визначте взаємозв’язок розвитку науки, освіти та внутрішньополітичних процесі</w:t>
      </w:r>
      <w:proofErr w:type="gramStart"/>
      <w:r w:rsidRPr="0019110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91106">
        <w:rPr>
          <w:rFonts w:ascii="Times New Roman" w:hAnsi="Times New Roman" w:cs="Times New Roman"/>
          <w:sz w:val="24"/>
          <w:szCs w:val="28"/>
        </w:rPr>
        <w:t>.</w:t>
      </w:r>
    </w:p>
    <w:sectPr w:rsidR="002C27FF" w:rsidRPr="00191106" w:rsidSect="00191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89E"/>
    <w:multiLevelType w:val="multilevel"/>
    <w:tmpl w:val="647E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A14A3"/>
    <w:multiLevelType w:val="multilevel"/>
    <w:tmpl w:val="C85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0"/>
    <w:rsid w:val="00000AD0"/>
    <w:rsid w:val="00191106"/>
    <w:rsid w:val="002B03E8"/>
    <w:rsid w:val="00457054"/>
    <w:rsid w:val="00534D80"/>
    <w:rsid w:val="00712A70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2748</Words>
  <Characters>15670</Characters>
  <Application>Microsoft Office Word</Application>
  <DocSecurity>0</DocSecurity>
  <Lines>130</Lines>
  <Paragraphs>36</Paragraphs>
  <ScaleCrop>false</ScaleCrop>
  <Company>UralSOFT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2020-05-04T09:19:00Z</dcterms:created>
  <dcterms:modified xsi:type="dcterms:W3CDTF">2020-05-04T09:28:00Z</dcterms:modified>
</cp:coreProperties>
</file>