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18" w:rsidRPr="00AE685B" w:rsidRDefault="00681618" w:rsidP="00681618">
      <w:pPr>
        <w:tabs>
          <w:tab w:val="left" w:pos="1788"/>
        </w:tabs>
        <w:rPr>
          <w:b/>
          <w:sz w:val="24"/>
          <w:szCs w:val="24"/>
          <w:lang w:val="uk-UA"/>
        </w:rPr>
      </w:pPr>
      <w:r w:rsidRPr="00AE685B">
        <w:rPr>
          <w:b/>
          <w:sz w:val="24"/>
          <w:szCs w:val="24"/>
          <w:lang w:val="uk-UA"/>
        </w:rPr>
        <w:t xml:space="preserve">Група МШ-23;  (1 урок) </w:t>
      </w:r>
    </w:p>
    <w:p w:rsidR="00681618" w:rsidRPr="00AE685B" w:rsidRDefault="00681618" w:rsidP="00681618">
      <w:pPr>
        <w:tabs>
          <w:tab w:val="left" w:pos="1788"/>
        </w:tabs>
        <w:rPr>
          <w:b/>
          <w:sz w:val="24"/>
          <w:szCs w:val="24"/>
          <w:lang w:val="uk-UA"/>
        </w:rPr>
      </w:pPr>
      <w:r w:rsidRPr="00AE685B">
        <w:rPr>
          <w:b/>
          <w:sz w:val="24"/>
          <w:szCs w:val="24"/>
          <w:lang w:val="uk-UA"/>
        </w:rPr>
        <w:t xml:space="preserve">13.05.2020р Тема уроку: « Приготування розчину для виконання першого шару </w:t>
      </w:r>
      <w:r>
        <w:rPr>
          <w:b/>
          <w:sz w:val="24"/>
          <w:szCs w:val="24"/>
          <w:lang w:val="uk-UA"/>
        </w:rPr>
        <w:t xml:space="preserve"> </w:t>
      </w:r>
    </w:p>
    <w:p w:rsidR="00681618" w:rsidRDefault="00681618" w:rsidP="00681618">
      <w:pPr>
        <w:tabs>
          <w:tab w:val="center" w:pos="4677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ab/>
        <w:t xml:space="preserve"> </w:t>
      </w:r>
      <w:proofErr w:type="spellStart"/>
      <w:r w:rsidRPr="00AE685B">
        <w:rPr>
          <w:b/>
          <w:sz w:val="24"/>
          <w:szCs w:val="24"/>
          <w:lang w:val="uk-UA"/>
        </w:rPr>
        <w:t>набризку</w:t>
      </w:r>
      <w:proofErr w:type="spellEnd"/>
      <w:r w:rsidRPr="00AE685B">
        <w:rPr>
          <w:b/>
          <w:sz w:val="24"/>
          <w:szCs w:val="24"/>
          <w:lang w:val="uk-UA"/>
        </w:rPr>
        <w:t>»</w:t>
      </w:r>
    </w:p>
    <w:p w:rsidR="00681618" w:rsidRDefault="00681618" w:rsidP="00681618">
      <w:pPr>
        <w:rPr>
          <w:b/>
          <w:sz w:val="24"/>
          <w:szCs w:val="24"/>
          <w:lang w:val="uk-UA"/>
        </w:rPr>
      </w:pPr>
      <w:r w:rsidRPr="00AE685B">
        <w:rPr>
          <w:b/>
          <w:sz w:val="24"/>
          <w:szCs w:val="24"/>
          <w:lang w:val="uk-UA"/>
        </w:rPr>
        <w:t>І.  Інформація  викладача:</w:t>
      </w:r>
    </w:p>
    <w:p w:rsidR="00681618" w:rsidRDefault="00681618" w:rsidP="00681618">
      <w:pPr>
        <w:ind w:firstLine="708"/>
        <w:rPr>
          <w:b/>
          <w:sz w:val="24"/>
          <w:szCs w:val="24"/>
          <w:lang w:val="uk-UA"/>
        </w:rPr>
      </w:pPr>
      <w:r w:rsidRPr="00AE685B">
        <w:rPr>
          <w:b/>
          <w:sz w:val="24"/>
          <w:szCs w:val="24"/>
          <w:lang w:val="uk-UA"/>
        </w:rPr>
        <w:t xml:space="preserve">1. Приготування розчину для першого шару </w:t>
      </w:r>
      <w:proofErr w:type="spellStart"/>
      <w:r w:rsidRPr="00AE685B">
        <w:rPr>
          <w:b/>
          <w:sz w:val="24"/>
          <w:szCs w:val="24"/>
          <w:lang w:val="uk-UA"/>
        </w:rPr>
        <w:t>набризку</w:t>
      </w:r>
      <w:proofErr w:type="spellEnd"/>
      <w:r w:rsidRPr="00AE685B">
        <w:rPr>
          <w:b/>
          <w:sz w:val="24"/>
          <w:szCs w:val="24"/>
          <w:lang w:val="uk-UA"/>
        </w:rPr>
        <w:t>:</w:t>
      </w:r>
      <w:r>
        <w:rPr>
          <w:b/>
          <w:sz w:val="24"/>
          <w:szCs w:val="24"/>
          <w:lang w:val="uk-UA"/>
        </w:rPr>
        <w:t xml:space="preserve">                                              </w:t>
      </w:r>
      <w:r>
        <w:rPr>
          <w:sz w:val="24"/>
          <w:szCs w:val="24"/>
          <w:lang w:val="uk-UA"/>
        </w:rPr>
        <w:t xml:space="preserve">Штукатурні розчини наносять на поверхні окремими шарами накиданням чи </w:t>
      </w:r>
      <w:proofErr w:type="spellStart"/>
      <w:r>
        <w:rPr>
          <w:sz w:val="24"/>
          <w:szCs w:val="24"/>
          <w:lang w:val="uk-UA"/>
        </w:rPr>
        <w:t>намазуван</w:t>
      </w:r>
      <w:proofErr w:type="spellEnd"/>
      <w:r>
        <w:rPr>
          <w:sz w:val="24"/>
          <w:szCs w:val="24"/>
          <w:lang w:val="uk-UA"/>
        </w:rPr>
        <w:t>--</w:t>
      </w:r>
      <w:proofErr w:type="spellStart"/>
      <w:r>
        <w:rPr>
          <w:sz w:val="24"/>
          <w:szCs w:val="24"/>
          <w:lang w:val="uk-UA"/>
        </w:rPr>
        <w:t>ням</w:t>
      </w:r>
      <w:proofErr w:type="spellEnd"/>
      <w:r>
        <w:rPr>
          <w:sz w:val="24"/>
          <w:szCs w:val="24"/>
          <w:lang w:val="uk-UA"/>
        </w:rPr>
        <w:t xml:space="preserve"> розчину  на поверхні вручну. Одразу накидати  товсті шари штукатурки не можна, оскільки вона може сповзти під час роботи,  а після висихання розтріскатися.</w:t>
      </w:r>
    </w:p>
    <w:p w:rsidR="00681618" w:rsidRDefault="00681618" w:rsidP="00681618">
      <w:pPr>
        <w:ind w:firstLine="708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Набризк</w:t>
      </w:r>
      <w:proofErr w:type="spellEnd"/>
      <w:r>
        <w:rPr>
          <w:sz w:val="24"/>
          <w:szCs w:val="24"/>
          <w:lang w:val="uk-UA"/>
        </w:rPr>
        <w:t xml:space="preserve"> – перший шар штукатурної  накиді. Він ліквідує нерівності та інші дефекти поверхні. Товщина шару залежить від виду поверхні та способу накидання розчину. Для </w:t>
      </w:r>
      <w:proofErr w:type="spellStart"/>
      <w:r>
        <w:rPr>
          <w:sz w:val="24"/>
          <w:szCs w:val="24"/>
          <w:lang w:val="uk-UA"/>
        </w:rPr>
        <w:t>набризку</w:t>
      </w:r>
      <w:proofErr w:type="spellEnd"/>
      <w:r>
        <w:rPr>
          <w:sz w:val="24"/>
          <w:szCs w:val="24"/>
          <w:lang w:val="uk-UA"/>
        </w:rPr>
        <w:t xml:space="preserve"> використовуємо </w:t>
      </w:r>
      <w:proofErr w:type="spellStart"/>
      <w:r>
        <w:rPr>
          <w:sz w:val="24"/>
          <w:szCs w:val="24"/>
          <w:lang w:val="uk-UA"/>
        </w:rPr>
        <w:t>сметаноподібні</w:t>
      </w:r>
      <w:proofErr w:type="spellEnd"/>
      <w:r>
        <w:rPr>
          <w:sz w:val="24"/>
          <w:szCs w:val="24"/>
          <w:lang w:val="uk-UA"/>
        </w:rPr>
        <w:t xml:space="preserve">  розчини. Рухливість розчину :  * 8-12 см за ручного способу накидання; * 8-10 см за механізованого способу накидання. Розчин -  це раціонально підібрана однорідна суміш в</w:t>
      </w:r>
      <w:r w:rsidRPr="00601178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 xml:space="preserve">яжучої речовини  з дрібним заповнювачем і водою.  Основними властивостями розчину є: легкоукладальність, </w:t>
      </w:r>
      <w:proofErr w:type="spellStart"/>
      <w:r>
        <w:rPr>
          <w:sz w:val="24"/>
          <w:szCs w:val="24"/>
          <w:lang w:val="uk-UA"/>
        </w:rPr>
        <w:t>водоутримувальна</w:t>
      </w:r>
      <w:proofErr w:type="spellEnd"/>
      <w:r>
        <w:rPr>
          <w:sz w:val="24"/>
          <w:szCs w:val="24"/>
          <w:lang w:val="uk-UA"/>
        </w:rPr>
        <w:t xml:space="preserve"> здатність розчину, міцність на стискання, морозостійкість, пластичність.</w:t>
      </w:r>
    </w:p>
    <w:p w:rsidR="00681618" w:rsidRDefault="00681618" w:rsidP="00681618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Необхідні  властивості розчину забезпечують  правильне  підбирання його складу, а саме: кількість матеріалів за масою чи об</w:t>
      </w:r>
      <w:r w:rsidRPr="00F3229A"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uk-UA"/>
        </w:rPr>
        <w:t>ємом</w:t>
      </w:r>
      <w:proofErr w:type="spellEnd"/>
      <w:r>
        <w:rPr>
          <w:sz w:val="24"/>
          <w:szCs w:val="24"/>
          <w:lang w:val="uk-UA"/>
        </w:rPr>
        <w:t>. Що припадає  на 1м розчинової суміші, або  відношення кожної складової розчину до в</w:t>
      </w:r>
      <w:r w:rsidRPr="00F3229A"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uk-UA"/>
        </w:rPr>
        <w:t>яжучого</w:t>
      </w:r>
      <w:proofErr w:type="spellEnd"/>
      <w:r>
        <w:rPr>
          <w:sz w:val="24"/>
          <w:szCs w:val="24"/>
          <w:lang w:val="uk-UA"/>
        </w:rPr>
        <w:t xml:space="preserve"> також за масою або об</w:t>
      </w:r>
      <w:r w:rsidRPr="00F3229A"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uk-UA"/>
        </w:rPr>
        <w:t>ємом</w:t>
      </w:r>
      <w:proofErr w:type="spellEnd"/>
      <w:r>
        <w:rPr>
          <w:sz w:val="24"/>
          <w:szCs w:val="24"/>
          <w:lang w:val="uk-UA"/>
        </w:rPr>
        <w:t>, при цьому витрати в</w:t>
      </w:r>
      <w:r w:rsidRPr="00F3229A"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uk-UA"/>
        </w:rPr>
        <w:t>яжучого</w:t>
      </w:r>
      <w:proofErr w:type="spellEnd"/>
      <w:r>
        <w:rPr>
          <w:sz w:val="24"/>
          <w:szCs w:val="24"/>
          <w:lang w:val="uk-UA"/>
        </w:rPr>
        <w:t xml:space="preserve"> беруть  за одиницю. Розчин шару </w:t>
      </w:r>
      <w:proofErr w:type="spellStart"/>
      <w:r>
        <w:rPr>
          <w:sz w:val="24"/>
          <w:szCs w:val="24"/>
          <w:lang w:val="uk-UA"/>
        </w:rPr>
        <w:t>набризку</w:t>
      </w:r>
      <w:proofErr w:type="spellEnd"/>
      <w:r>
        <w:rPr>
          <w:sz w:val="24"/>
          <w:szCs w:val="24"/>
          <w:lang w:val="uk-UA"/>
        </w:rPr>
        <w:t xml:space="preserve">, розтікаючись  на всій поверхні , міцно </w:t>
      </w:r>
      <w:proofErr w:type="spellStart"/>
      <w:r>
        <w:rPr>
          <w:sz w:val="24"/>
          <w:szCs w:val="24"/>
          <w:lang w:val="uk-UA"/>
        </w:rPr>
        <w:t>зчеплюється</w:t>
      </w:r>
      <w:proofErr w:type="spellEnd"/>
      <w:r>
        <w:rPr>
          <w:sz w:val="24"/>
          <w:szCs w:val="24"/>
          <w:lang w:val="uk-UA"/>
        </w:rPr>
        <w:t xml:space="preserve"> з нею й утримує наступні шари  - грунт, накривку.  Щоб  розчин </w:t>
      </w:r>
      <w:proofErr w:type="spellStart"/>
      <w:r>
        <w:rPr>
          <w:sz w:val="24"/>
          <w:szCs w:val="24"/>
          <w:lang w:val="uk-UA"/>
        </w:rPr>
        <w:t>набризку</w:t>
      </w:r>
      <w:proofErr w:type="spellEnd"/>
      <w:r>
        <w:rPr>
          <w:sz w:val="24"/>
          <w:szCs w:val="24"/>
          <w:lang w:val="uk-UA"/>
        </w:rPr>
        <w:t xml:space="preserve"> був рівної товщини, його потрібно набирати однаковими порціями та накидати з однієї відстані.</w:t>
      </w:r>
    </w:p>
    <w:p w:rsidR="00681618" w:rsidRDefault="00681618" w:rsidP="00681618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 розчину записують цифровим співвідношенням його масових  або об</w:t>
      </w:r>
      <w:r w:rsidRPr="005766F4">
        <w:rPr>
          <w:sz w:val="24"/>
          <w:szCs w:val="24"/>
        </w:rPr>
        <w:t>’</w:t>
      </w:r>
      <w:r>
        <w:rPr>
          <w:sz w:val="24"/>
          <w:szCs w:val="24"/>
          <w:lang w:val="uk-UA"/>
        </w:rPr>
        <w:t>ємних частин, наприклад: цементний розчин -  (1 : 2.5- 4). Це означає , що для приготування такого розчину слід брати за об</w:t>
      </w:r>
      <w:r w:rsidRPr="005766F4"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uk-UA"/>
        </w:rPr>
        <w:t>ємом</w:t>
      </w:r>
      <w:proofErr w:type="spellEnd"/>
      <w:r>
        <w:rPr>
          <w:sz w:val="24"/>
          <w:szCs w:val="24"/>
          <w:lang w:val="uk-UA"/>
        </w:rPr>
        <w:t xml:space="preserve"> одну частину цементу і 2,5-4 частини піску;  для  приготування вапняного розчину – ( 1:2.5-4) треба брати одну частину вапна,  дві </w:t>
      </w:r>
      <w:r w:rsidRPr="005766F4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 з половино2.5 – 4) частини піску. Для приготування  цементно-вапняного  розчину ( 1 : 0.3 – 0,5 ; :3-5), треба брати одну  частину  цементу  , 03-0.5 частини  вапняного тіста  і три </w:t>
      </w:r>
      <w:r w:rsidRPr="005766F4">
        <w:rPr>
          <w:sz w:val="24"/>
          <w:szCs w:val="24"/>
        </w:rPr>
        <w:t>-</w:t>
      </w:r>
      <w:r>
        <w:rPr>
          <w:sz w:val="24"/>
          <w:szCs w:val="24"/>
          <w:lang w:val="uk-UA"/>
        </w:rPr>
        <w:t xml:space="preserve">  </w:t>
      </w:r>
      <w:r w:rsidRPr="005766F4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п</w:t>
      </w:r>
      <w:r w:rsidRPr="005766F4">
        <w:rPr>
          <w:sz w:val="24"/>
          <w:szCs w:val="24"/>
        </w:rPr>
        <w:t>’</w:t>
      </w:r>
      <w:r>
        <w:rPr>
          <w:sz w:val="24"/>
          <w:szCs w:val="24"/>
          <w:lang w:val="uk-UA"/>
        </w:rPr>
        <w:t xml:space="preserve">ять частин піску. вода додається до потрібної консистенції. </w:t>
      </w:r>
    </w:p>
    <w:p w:rsidR="00681618" w:rsidRDefault="00681618" w:rsidP="00681618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Набризк</w:t>
      </w:r>
      <w:proofErr w:type="spellEnd"/>
      <w:r>
        <w:rPr>
          <w:sz w:val="24"/>
          <w:szCs w:val="24"/>
          <w:lang w:val="uk-UA"/>
        </w:rPr>
        <w:t xml:space="preserve"> завжди накидайте навкидь, а не намазуйте , тоді він ліпше зчепиться з поверхнею. Його накидають за допомогою ковша і не розрівнюють , знімають лише надлишки з надто товстих ділянок. Товщина </w:t>
      </w:r>
      <w:proofErr w:type="spellStart"/>
      <w:r>
        <w:rPr>
          <w:sz w:val="24"/>
          <w:szCs w:val="24"/>
          <w:lang w:val="uk-UA"/>
        </w:rPr>
        <w:t>набризку</w:t>
      </w:r>
      <w:proofErr w:type="spellEnd"/>
      <w:r>
        <w:rPr>
          <w:sz w:val="24"/>
          <w:szCs w:val="24"/>
          <w:lang w:val="uk-UA"/>
        </w:rPr>
        <w:t xml:space="preserve"> на </w:t>
      </w:r>
      <w:proofErr w:type="spellStart"/>
      <w:r>
        <w:rPr>
          <w:sz w:val="24"/>
          <w:szCs w:val="24"/>
          <w:lang w:val="uk-UA"/>
        </w:rPr>
        <w:t>кам</w:t>
      </w:r>
      <w:proofErr w:type="spellEnd"/>
      <w:r w:rsidRPr="00F406B6"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uk-UA"/>
        </w:rPr>
        <w:t>яні</w:t>
      </w:r>
      <w:proofErr w:type="spellEnd"/>
      <w:r>
        <w:rPr>
          <w:sz w:val="24"/>
          <w:szCs w:val="24"/>
          <w:lang w:val="uk-UA"/>
        </w:rPr>
        <w:t>, цегляні і бетонні поверхні 5мм.</w:t>
      </w:r>
    </w:p>
    <w:p w:rsidR="00681618" w:rsidRDefault="00681618" w:rsidP="00681618">
      <w:pPr>
        <w:tabs>
          <w:tab w:val="left" w:pos="1200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F406B6">
        <w:rPr>
          <w:b/>
          <w:sz w:val="24"/>
          <w:szCs w:val="24"/>
          <w:lang w:val="uk-UA"/>
        </w:rPr>
        <w:t>Приготування вапняного</w:t>
      </w:r>
      <w:r>
        <w:rPr>
          <w:b/>
          <w:sz w:val="24"/>
          <w:szCs w:val="24"/>
          <w:lang w:val="uk-UA"/>
        </w:rPr>
        <w:t>, цементно-вапняного</w:t>
      </w:r>
      <w:r w:rsidRPr="00F406B6">
        <w:rPr>
          <w:b/>
          <w:sz w:val="24"/>
          <w:szCs w:val="24"/>
          <w:lang w:val="uk-UA"/>
        </w:rPr>
        <w:t xml:space="preserve"> розчину:</w:t>
      </w:r>
    </w:p>
    <w:p w:rsidR="00681618" w:rsidRDefault="00681618" w:rsidP="0068161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посудині розводять вапняне тісто  водою до утворення вапняного молока. Потрібну кількість піску(просіюють) і насипають у ємкість(ящик) . додають  вапняне молоко і добре перемішують.</w:t>
      </w:r>
    </w:p>
    <w:p w:rsidR="00681618" w:rsidRDefault="00681618" w:rsidP="0068161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При приготуванні цементно-вапняного розчину – в ящик насипають потрібну кількість і цементу, суміш гарцюють. У </w:t>
      </w:r>
      <w:proofErr w:type="spellStart"/>
      <w:r>
        <w:rPr>
          <w:sz w:val="24"/>
          <w:szCs w:val="24"/>
          <w:lang w:val="uk-UA"/>
        </w:rPr>
        <w:t>перегарцьовану</w:t>
      </w:r>
      <w:proofErr w:type="spellEnd"/>
      <w:r>
        <w:rPr>
          <w:sz w:val="24"/>
          <w:szCs w:val="24"/>
          <w:lang w:val="uk-UA"/>
        </w:rPr>
        <w:t xml:space="preserve">  суміш вливають окремо приготовлене вапняне молоко і добре перемішують.</w:t>
      </w:r>
    </w:p>
    <w:p w:rsidR="00681618" w:rsidRDefault="00681618" w:rsidP="00681618">
      <w:pPr>
        <w:rPr>
          <w:sz w:val="24"/>
          <w:szCs w:val="24"/>
          <w:lang w:val="uk-UA"/>
        </w:rPr>
      </w:pPr>
      <w:r w:rsidRPr="00AE63CC">
        <w:rPr>
          <w:b/>
          <w:sz w:val="24"/>
          <w:szCs w:val="24"/>
          <w:lang w:val="uk-UA"/>
        </w:rPr>
        <w:lastRenderedPageBreak/>
        <w:t>2. Закріплення матеріалу; « Словесний турнір»</w:t>
      </w:r>
      <w:r>
        <w:rPr>
          <w:sz w:val="24"/>
          <w:szCs w:val="24"/>
          <w:lang w:val="uk-UA"/>
        </w:rPr>
        <w:t xml:space="preserve"> (відповіді записати в зошит)</w:t>
      </w:r>
    </w:p>
    <w:p w:rsidR="00681618" w:rsidRDefault="00681618" w:rsidP="00681618">
      <w:pPr>
        <w:tabs>
          <w:tab w:val="left" w:pos="2460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AE63CC">
        <w:rPr>
          <w:b/>
          <w:sz w:val="24"/>
          <w:szCs w:val="24"/>
          <w:lang w:val="uk-UA"/>
        </w:rPr>
        <w:t xml:space="preserve">   «Словесний турнір»</w:t>
      </w:r>
    </w:p>
    <w:p w:rsidR="00681618" w:rsidRDefault="00681618" w:rsidP="0068161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Вставте відсутні букви до слів, відповідно теми уроку.</w:t>
      </w:r>
    </w:p>
    <w:p w:rsidR="00681618" w:rsidRDefault="00681618" w:rsidP="00681618">
      <w:pPr>
        <w:rPr>
          <w:sz w:val="24"/>
          <w:szCs w:val="24"/>
          <w:lang w:val="uk-UA"/>
        </w:rPr>
      </w:pPr>
    </w:p>
    <w:tbl>
      <w:tblPr>
        <w:tblStyle w:val="aa"/>
        <w:tblW w:w="0" w:type="auto"/>
        <w:tblInd w:w="1696" w:type="dxa"/>
        <w:tblLook w:val="04A0" w:firstRow="1" w:lastRow="0" w:firstColumn="1" w:lastColumn="0" w:noHBand="0" w:noVBand="1"/>
      </w:tblPr>
      <w:tblGrid>
        <w:gridCol w:w="426"/>
        <w:gridCol w:w="432"/>
        <w:gridCol w:w="432"/>
        <w:gridCol w:w="411"/>
        <w:gridCol w:w="426"/>
        <w:gridCol w:w="425"/>
        <w:gridCol w:w="422"/>
        <w:gridCol w:w="428"/>
        <w:gridCol w:w="426"/>
        <w:gridCol w:w="425"/>
        <w:gridCol w:w="425"/>
        <w:gridCol w:w="425"/>
      </w:tblGrid>
      <w:tr w:rsidR="00681618" w:rsidTr="004552A0">
        <w:trPr>
          <w:trHeight w:val="497"/>
        </w:trPr>
        <w:tc>
          <w:tcPr>
            <w:tcW w:w="426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32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1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422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8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Ь</w:t>
            </w:r>
          </w:p>
        </w:tc>
      </w:tr>
      <w:tr w:rsidR="00681618" w:rsidTr="004552A0">
        <w:trPr>
          <w:trHeight w:val="420"/>
        </w:trPr>
        <w:tc>
          <w:tcPr>
            <w:tcW w:w="426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</w:p>
        </w:tc>
        <w:tc>
          <w:tcPr>
            <w:tcW w:w="432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1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2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8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Ї</w:t>
            </w:r>
          </w:p>
        </w:tc>
        <w:tc>
          <w:tcPr>
            <w:tcW w:w="425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</w:tr>
      <w:tr w:rsidR="00681618" w:rsidTr="004552A0">
        <w:trPr>
          <w:trHeight w:val="412"/>
        </w:trPr>
        <w:tc>
          <w:tcPr>
            <w:tcW w:w="426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32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1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26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2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8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І</w:t>
            </w:r>
          </w:p>
        </w:tc>
        <w:tc>
          <w:tcPr>
            <w:tcW w:w="425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</w:tr>
      <w:tr w:rsidR="00681618" w:rsidTr="004552A0">
        <w:trPr>
          <w:trHeight w:val="417"/>
        </w:trPr>
        <w:tc>
          <w:tcPr>
            <w:tcW w:w="426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32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1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425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2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8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Я</w:t>
            </w:r>
          </w:p>
        </w:tc>
        <w:tc>
          <w:tcPr>
            <w:tcW w:w="425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</w:tr>
      <w:tr w:rsidR="00681618" w:rsidTr="004552A0">
        <w:trPr>
          <w:trHeight w:val="409"/>
        </w:trPr>
        <w:tc>
          <w:tcPr>
            <w:tcW w:w="426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32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1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З</w:t>
            </w:r>
          </w:p>
        </w:tc>
        <w:tc>
          <w:tcPr>
            <w:tcW w:w="422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8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У</w:t>
            </w:r>
          </w:p>
        </w:tc>
        <w:tc>
          <w:tcPr>
            <w:tcW w:w="426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</w:tr>
      <w:tr w:rsidR="00681618" w:rsidTr="004552A0">
        <w:trPr>
          <w:trHeight w:val="416"/>
        </w:trPr>
        <w:tc>
          <w:tcPr>
            <w:tcW w:w="426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432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1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2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У</w:t>
            </w:r>
          </w:p>
        </w:tc>
        <w:tc>
          <w:tcPr>
            <w:tcW w:w="428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81618" w:rsidRDefault="00681618" w:rsidP="004552A0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681618" w:rsidRPr="00AE63CC" w:rsidRDefault="00681618" w:rsidP="00681618">
      <w:pPr>
        <w:rPr>
          <w:sz w:val="24"/>
          <w:szCs w:val="24"/>
          <w:lang w:val="uk-UA"/>
        </w:rPr>
      </w:pPr>
    </w:p>
    <w:p w:rsidR="00F327E1" w:rsidRDefault="00681618">
      <w:bookmarkStart w:id="0" w:name="_GoBack"/>
      <w:bookmarkEnd w:id="0"/>
    </w:p>
    <w:sectPr w:rsidR="00F3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8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B2"/>
    <w:rsid w:val="00077A24"/>
    <w:rsid w:val="002029B2"/>
    <w:rsid w:val="004B3805"/>
    <w:rsid w:val="005A7C1A"/>
    <w:rsid w:val="00681618"/>
    <w:rsid w:val="00D6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1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uppressAutoHyphens/>
      <w:spacing w:before="240" w:after="60" w:line="100" w:lineRule="atLeast"/>
      <w:ind w:left="1080" w:hanging="360"/>
      <w:outlineLvl w:val="1"/>
    </w:pPr>
    <w:rPr>
      <w:rFonts w:ascii="Cambria" w:eastAsia="Arial Unicode MS" w:hAnsi="Cambria" w:cs="font186"/>
      <w:b/>
      <w:bCs/>
      <w:i/>
      <w:iCs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"/>
    <w:link w:val="50"/>
    <w:qFormat/>
    <w:rsid w:val="00D63C0D"/>
    <w:pPr>
      <w:suppressAutoHyphens/>
      <w:spacing w:before="240" w:after="60" w:line="240" w:lineRule="auto"/>
      <w:outlineLvl w:val="4"/>
    </w:pPr>
    <w:rPr>
      <w:rFonts w:ascii="Arial" w:eastAsia="Arial Unicode MS" w:hAnsi="Arial" w:cs="Mangal"/>
      <w:b/>
      <w:bCs/>
      <w:i/>
      <w:iCs/>
      <w:kern w:val="1"/>
      <w:sz w:val="26"/>
      <w:szCs w:val="26"/>
      <w:lang w:eastAsia="hi-IN" w:bidi="hi-IN"/>
    </w:rPr>
  </w:style>
  <w:style w:type="paragraph" w:styleId="6">
    <w:name w:val="heading 6"/>
    <w:basedOn w:val="a"/>
    <w:next w:val="a"/>
    <w:link w:val="60"/>
    <w:qFormat/>
    <w:rsid w:val="00D63C0D"/>
    <w:pPr>
      <w:suppressAutoHyphens/>
      <w:spacing w:before="240" w:after="60" w:line="240" w:lineRule="auto"/>
      <w:outlineLvl w:val="5"/>
    </w:pPr>
    <w:rPr>
      <w:rFonts w:ascii="Times New Roman" w:eastAsia="Arial Unicode MS" w:hAnsi="Times New Roman" w:cs="Times New Roman"/>
      <w:b/>
      <w:bCs/>
      <w:kern w:val="1"/>
      <w:lang w:eastAsia="hi-IN" w:bidi="hi-IN"/>
    </w:rPr>
  </w:style>
  <w:style w:type="paragraph" w:styleId="9">
    <w:name w:val="heading 9"/>
    <w:basedOn w:val="a"/>
    <w:next w:val="a"/>
    <w:link w:val="90"/>
    <w:qFormat/>
    <w:rsid w:val="00D63C0D"/>
    <w:pPr>
      <w:suppressAutoHyphens/>
      <w:spacing w:before="240" w:after="60" w:line="240" w:lineRule="auto"/>
      <w:outlineLvl w:val="8"/>
    </w:pPr>
    <w:rPr>
      <w:rFonts w:ascii="Arial" w:eastAsia="Arial Unicode MS" w:hAnsi="Arial" w:cs="Arial"/>
      <w:kern w:val="1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uppressAutoHyphens/>
      <w:spacing w:after="12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2"/>
    <w:uiPriority w:val="39"/>
    <w:rsid w:val="00681618"/>
    <w:rPr>
      <w:rFonts w:asciiTheme="minorHAnsi" w:eastAsia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1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uppressAutoHyphens/>
      <w:spacing w:before="240" w:after="60" w:line="100" w:lineRule="atLeast"/>
      <w:ind w:left="1080" w:hanging="360"/>
      <w:outlineLvl w:val="1"/>
    </w:pPr>
    <w:rPr>
      <w:rFonts w:ascii="Cambria" w:eastAsia="Arial Unicode MS" w:hAnsi="Cambria" w:cs="font186"/>
      <w:b/>
      <w:bCs/>
      <w:i/>
      <w:iCs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"/>
    <w:link w:val="50"/>
    <w:qFormat/>
    <w:rsid w:val="00D63C0D"/>
    <w:pPr>
      <w:suppressAutoHyphens/>
      <w:spacing w:before="240" w:after="60" w:line="240" w:lineRule="auto"/>
      <w:outlineLvl w:val="4"/>
    </w:pPr>
    <w:rPr>
      <w:rFonts w:ascii="Arial" w:eastAsia="Arial Unicode MS" w:hAnsi="Arial" w:cs="Mangal"/>
      <w:b/>
      <w:bCs/>
      <w:i/>
      <w:iCs/>
      <w:kern w:val="1"/>
      <w:sz w:val="26"/>
      <w:szCs w:val="26"/>
      <w:lang w:eastAsia="hi-IN" w:bidi="hi-IN"/>
    </w:rPr>
  </w:style>
  <w:style w:type="paragraph" w:styleId="6">
    <w:name w:val="heading 6"/>
    <w:basedOn w:val="a"/>
    <w:next w:val="a"/>
    <w:link w:val="60"/>
    <w:qFormat/>
    <w:rsid w:val="00D63C0D"/>
    <w:pPr>
      <w:suppressAutoHyphens/>
      <w:spacing w:before="240" w:after="60" w:line="240" w:lineRule="auto"/>
      <w:outlineLvl w:val="5"/>
    </w:pPr>
    <w:rPr>
      <w:rFonts w:ascii="Times New Roman" w:eastAsia="Arial Unicode MS" w:hAnsi="Times New Roman" w:cs="Times New Roman"/>
      <w:b/>
      <w:bCs/>
      <w:kern w:val="1"/>
      <w:lang w:eastAsia="hi-IN" w:bidi="hi-IN"/>
    </w:rPr>
  </w:style>
  <w:style w:type="paragraph" w:styleId="9">
    <w:name w:val="heading 9"/>
    <w:basedOn w:val="a"/>
    <w:next w:val="a"/>
    <w:link w:val="90"/>
    <w:qFormat/>
    <w:rsid w:val="00D63C0D"/>
    <w:pPr>
      <w:suppressAutoHyphens/>
      <w:spacing w:before="240" w:after="60" w:line="240" w:lineRule="auto"/>
      <w:outlineLvl w:val="8"/>
    </w:pPr>
    <w:rPr>
      <w:rFonts w:ascii="Arial" w:eastAsia="Arial Unicode MS" w:hAnsi="Arial" w:cs="Arial"/>
      <w:kern w:val="1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uppressAutoHyphens/>
      <w:spacing w:after="12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2"/>
    <w:uiPriority w:val="39"/>
    <w:rsid w:val="00681618"/>
    <w:rPr>
      <w:rFonts w:asciiTheme="minorHAnsi" w:eastAsia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2000</Words>
  <Characters>1141</Characters>
  <Application>Microsoft Office Word</Application>
  <DocSecurity>0</DocSecurity>
  <Lines>9</Lines>
  <Paragraphs>6</Paragraphs>
  <ScaleCrop>false</ScaleCrop>
  <Company>org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_Заместитель по УПР</dc:creator>
  <cp:keywords/>
  <dc:description/>
  <cp:lastModifiedBy>_Заместитель по УПР</cp:lastModifiedBy>
  <cp:revision>2</cp:revision>
  <dcterms:created xsi:type="dcterms:W3CDTF">2020-05-12T11:17:00Z</dcterms:created>
  <dcterms:modified xsi:type="dcterms:W3CDTF">2020-05-12T11:17:00Z</dcterms:modified>
</cp:coreProperties>
</file>