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AD2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2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АС-73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D26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Калмиков</w:t>
      </w:r>
      <w:proofErr w:type="spellEnd"/>
      <w:r w:rsidR="00AD266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В.О</w:t>
      </w:r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103DA9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103DA9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9F72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9F72BA">
        <w:rPr>
          <w:rFonts w:ascii="Times New Roman" w:hAnsi="Times New Roman"/>
          <w:sz w:val="28"/>
          <w:szCs w:val="28"/>
          <w:lang w:val="uk-UA"/>
        </w:rPr>
        <w:t>Технічне обслуговування автомобілів</w:t>
      </w:r>
    </w:p>
    <w:p w:rsidR="007C6337" w:rsidRPr="006036D6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2BA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Контрольний огляд технічного стану механізмів і систем двигунів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контрольному огляді технічного стану механізмів і систем двигунів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контрольному огляді технічного стану механізмів і систем двигунів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контрольному огляді технічного стану механізмів і систем двигунів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103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bookmarkStart w:id="0" w:name="_GoBack"/>
      <w:bookmarkEnd w:id="0"/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071D0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71D03" w:rsidRPr="00071D03">
        <w:rPr>
          <w:rFonts w:ascii="Times New Roman" w:eastAsia="Times New Roman" w:hAnsi="Times New Roman"/>
          <w:sz w:val="28"/>
          <w:szCs w:val="28"/>
          <w:lang w:val="uk-UA" w:eastAsia="ru-RU"/>
        </w:rPr>
        <w:t>Діагностування технічного стану складових елементів кузова, додаткового і спеціального обладнання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43BB" w:rsidRPr="00CC43BB" w:rsidRDefault="00C91EF7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43BB" w:rsidRPr="00CC4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існують методи діагностики кузовів, спеціального та додаткового обладнання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оглядають дно автомобіля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перевіряють геометрію дверних прорізів та салону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4.Як перевіряють геометрію багажного простору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Який інструмент використовують для діагностування елементів кузова, спеціального та додаткового обладнання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Як перевіряють геометрію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підкапотного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простору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7.Опишіть безпеку праці при виконанні діагностики технічного стану кузова, додаткового та спеціального обладнання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C673D3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35BFA" w:rsidRDefault="00B2064E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 двигуна починається з контрольного огляду, полягає у виявленні його комплектності, наявність підтікання мастила, палива та охолоджувальної рідини, перевірки кріплення двигуна та проводів (системи запалювання).</w:t>
      </w:r>
    </w:p>
    <w:p w:rsidR="00B2064E" w:rsidRDefault="00407883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Наступним етапом огляду є випробування двигуна пуском. При цьому перевіряють легкість пуску, наявність диму при випуску, прослуховування виявлення різких шумів та стуків. Одночасно перевіряють рівномірність та стійкість </w:t>
      </w:r>
      <w:r w:rsidR="00A13D4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різні частоти обертання колінчастого валу, щільність кріплення та з’єднання системи випуску (проривів газів) та показ контрольних приладів. Тривалість одного пуску повинна бути не більше 20сек. Повторний пуск  виконується через 1-2 хв.  Контрольний огляд двигуна дає змогу виявити його очевидні дефекти без використання діагностичних засобів та операціям обслуговування ремонтних впливів.</w:t>
      </w:r>
    </w:p>
    <w:tbl>
      <w:tblPr>
        <w:tblStyle w:val="a8"/>
        <w:tblW w:w="0" w:type="auto"/>
        <w:tblInd w:w="993" w:type="dxa"/>
        <w:tblLook w:val="04A0" w:firstRow="1" w:lastRow="0" w:firstColumn="1" w:lastColumn="0" w:noHBand="0" w:noVBand="1"/>
      </w:tblPr>
      <w:tblGrid>
        <w:gridCol w:w="2829"/>
        <w:gridCol w:w="2832"/>
        <w:gridCol w:w="2917"/>
      </w:tblGrid>
      <w:tr w:rsidR="001A15EE" w:rsidTr="001A15EE">
        <w:tc>
          <w:tcPr>
            <w:tcW w:w="2829" w:type="dxa"/>
          </w:tcPr>
          <w:p w:rsidR="00E70CEA" w:rsidRPr="00E70CE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E70C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Признаки несправності</w:t>
            </w:r>
          </w:p>
        </w:tc>
        <w:tc>
          <w:tcPr>
            <w:tcW w:w="2832" w:type="dxa"/>
          </w:tcPr>
          <w:p w:rsidR="00E70CEA" w:rsidRPr="00E70CE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Структурні зміни</w:t>
            </w:r>
          </w:p>
        </w:tc>
        <w:tc>
          <w:tcPr>
            <w:tcW w:w="2917" w:type="dxa"/>
          </w:tcPr>
          <w:p w:rsidR="00E70CEA" w:rsidRPr="00E70CE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Способи діагностування та усунення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не</w:t>
            </w:r>
            <w:r w:rsidR="00A00F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справностей</w:t>
            </w:r>
            <w:proofErr w:type="spellEnd"/>
          </w:p>
        </w:tc>
      </w:tr>
      <w:tr w:rsidR="001A15EE" w:rsidTr="001A15EE">
        <w:tc>
          <w:tcPr>
            <w:tcW w:w="2829" w:type="dxa"/>
          </w:tcPr>
          <w:p w:rsidR="00E70CEA" w:rsidRPr="0076151A" w:rsidRDefault="00E70CEA" w:rsidP="00E7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1. Падіння потужності двигуна, підвищені витати палива та мастила, димний вихлоп</w:t>
            </w:r>
          </w:p>
        </w:tc>
        <w:tc>
          <w:tcPr>
            <w:tcW w:w="2832" w:type="dxa"/>
          </w:tcPr>
          <w:p w:rsidR="00E70CEA" w:rsidRPr="0076151A" w:rsidRDefault="00E70CEA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або зазор циліндрів</w:t>
            </w:r>
            <w:r w:rsidR="0076151A"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, знос поршневих </w:t>
            </w:r>
            <w:proofErr w:type="spellStart"/>
            <w:r w:rsidR="0076151A"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кілець</w:t>
            </w:r>
            <w:proofErr w:type="spellEnd"/>
            <w:r w:rsidR="0076151A"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втрата їх пружності, несправність</w:t>
            </w:r>
          </w:p>
        </w:tc>
        <w:tc>
          <w:tcPr>
            <w:tcW w:w="2917" w:type="dxa"/>
          </w:tcPr>
          <w:p w:rsidR="00E70CEA" w:rsidRPr="0076151A" w:rsidRDefault="0076151A" w:rsidP="00761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Замірити: потужність двигуна, втрату стиснутого повітря, прорив газів у картері, тиск такту стискання, угар мастила. При необхідності замінити елементи.</w:t>
            </w:r>
          </w:p>
        </w:tc>
      </w:tr>
      <w:tr w:rsidR="001A15EE" w:rsidTr="001A15EE">
        <w:tc>
          <w:tcPr>
            <w:tcW w:w="2829" w:type="dxa"/>
          </w:tcPr>
          <w:p w:rsidR="00E70CEA" w:rsidRPr="0076151A" w:rsidRDefault="0076151A" w:rsidP="00761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7615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A00F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Стук поршнів</w:t>
            </w:r>
          </w:p>
        </w:tc>
        <w:tc>
          <w:tcPr>
            <w:tcW w:w="2832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юбок поршнів</w:t>
            </w:r>
          </w:p>
        </w:tc>
        <w:tc>
          <w:tcPr>
            <w:tcW w:w="2917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Прослухати двигун стетоскопом</w:t>
            </w:r>
          </w:p>
        </w:tc>
      </w:tr>
      <w:tr w:rsidR="001A15EE" w:rsidTr="001A15EE">
        <w:tc>
          <w:tcPr>
            <w:tcW w:w="2829" w:type="dxa"/>
          </w:tcPr>
          <w:p w:rsidR="00E70CEA" w:rsidRPr="00A00F5E" w:rsidRDefault="00A00F5E" w:rsidP="00A00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A00F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Пульсуюче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димління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з вентиляційної трубки</w:t>
            </w:r>
          </w:p>
        </w:tc>
        <w:tc>
          <w:tcPr>
            <w:tcW w:w="2832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Тріщини або прогар поршнів у дизелях</w:t>
            </w:r>
          </w:p>
        </w:tc>
        <w:tc>
          <w:tcPr>
            <w:tcW w:w="2917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Виміряти тиск кінця такту стиску, Замінити поршні</w:t>
            </w:r>
          </w:p>
        </w:tc>
      </w:tr>
      <w:tr w:rsidR="001A15EE" w:rsidTr="001A15EE">
        <w:tc>
          <w:tcPr>
            <w:tcW w:w="2829" w:type="dxa"/>
          </w:tcPr>
          <w:p w:rsidR="00E70CEA" w:rsidRPr="0076151A" w:rsidRDefault="00A00F5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4. </w:t>
            </w:r>
            <w:r w:rsidR="001334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Нерівномірна праця двигуна, вода на електродах свічок</w:t>
            </w:r>
          </w:p>
        </w:tc>
        <w:tc>
          <w:tcPr>
            <w:tcW w:w="2832" w:type="dxa"/>
          </w:tcPr>
          <w:p w:rsidR="00E70CEA" w:rsidRPr="0076151A" w:rsidRDefault="005475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Порушення герметичності прокладки головки</w:t>
            </w:r>
          </w:p>
        </w:tc>
        <w:tc>
          <w:tcPr>
            <w:tcW w:w="2917" w:type="dxa"/>
          </w:tcPr>
          <w:p w:rsidR="00E70CEA" w:rsidRPr="0076151A" w:rsidRDefault="005475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Виміряти втрату стиснутого повітря, замінити прокладку</w:t>
            </w:r>
          </w:p>
        </w:tc>
      </w:tr>
      <w:tr w:rsidR="001A15EE" w:rsidTr="001A15EE">
        <w:tc>
          <w:tcPr>
            <w:tcW w:w="2829" w:type="dxa"/>
          </w:tcPr>
          <w:p w:rsidR="00E70CEA" w:rsidRPr="0076151A" w:rsidRDefault="005475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5. Різкі стуки у двигуні,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не зникаючі при пізнішому запаленні</w:t>
            </w:r>
          </w:p>
        </w:tc>
        <w:tc>
          <w:tcPr>
            <w:tcW w:w="2832" w:type="dxa"/>
          </w:tcPr>
          <w:p w:rsidR="00E70CEA" w:rsidRPr="0076151A" w:rsidRDefault="00F464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 xml:space="preserve">Знос вкладишів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шатунних підшипників</w:t>
            </w:r>
          </w:p>
        </w:tc>
        <w:tc>
          <w:tcPr>
            <w:tcW w:w="2917" w:type="dxa"/>
          </w:tcPr>
          <w:p w:rsidR="00E70CEA" w:rsidRPr="0076151A" w:rsidRDefault="00F4646C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 xml:space="preserve">Прослуховування двигуна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стетоскопом, виявити сумарний проміжок, замінити вкладиші</w:t>
            </w:r>
          </w:p>
        </w:tc>
      </w:tr>
      <w:tr w:rsidR="001A15EE" w:rsidTr="001A15EE">
        <w:tc>
          <w:tcPr>
            <w:tcW w:w="2829" w:type="dxa"/>
          </w:tcPr>
          <w:p w:rsidR="001A15EE" w:rsidRPr="0076151A" w:rsidRDefault="001A15E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lastRenderedPageBreak/>
              <w:t>6. Часті та рідкі стуки в двигуні при пуску та русі на високих швидкостях</w:t>
            </w:r>
          </w:p>
        </w:tc>
        <w:tc>
          <w:tcPr>
            <w:tcW w:w="2832" w:type="dxa"/>
          </w:tcPr>
          <w:p w:rsidR="001A15EE" w:rsidRPr="0076151A" w:rsidRDefault="001A15E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вкладишів шатунних підшипників</w:t>
            </w:r>
          </w:p>
        </w:tc>
        <w:tc>
          <w:tcPr>
            <w:tcW w:w="2917" w:type="dxa"/>
          </w:tcPr>
          <w:p w:rsidR="001A15EE" w:rsidRPr="0076151A" w:rsidRDefault="001A15EE" w:rsidP="00F3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Прослуховування двигуна стетоскопом, виявити сумарний проміжок, замінити вкладиші</w:t>
            </w:r>
          </w:p>
        </w:tc>
      </w:tr>
      <w:tr w:rsidR="001A15EE" w:rsidTr="001A15EE">
        <w:tc>
          <w:tcPr>
            <w:tcW w:w="2829" w:type="dxa"/>
          </w:tcPr>
          <w:p w:rsidR="001A15EE" w:rsidRPr="0076151A" w:rsidRDefault="001A15EE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7. Різкі глухі стуки, добре чутні при відпустці педалі </w:t>
            </w:r>
            <w:r w:rsidR="00C841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зчеплення</w:t>
            </w:r>
          </w:p>
        </w:tc>
        <w:tc>
          <w:tcPr>
            <w:tcW w:w="2832" w:type="dxa"/>
          </w:tcPr>
          <w:p w:rsidR="001A15EE" w:rsidRPr="0076151A" w:rsidRDefault="0027354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Знос вкладишів корінних підшипників</w:t>
            </w:r>
          </w:p>
        </w:tc>
        <w:tc>
          <w:tcPr>
            <w:tcW w:w="2917" w:type="dxa"/>
          </w:tcPr>
          <w:p w:rsidR="001A15EE" w:rsidRPr="0076151A" w:rsidRDefault="0027354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Виявити тиск мастила, при необхідності змінити мастило, визначити знос та замінити вкладиші</w:t>
            </w:r>
          </w:p>
        </w:tc>
      </w:tr>
      <w:tr w:rsidR="001A15EE" w:rsidRPr="00C84195" w:rsidTr="001A15EE">
        <w:tc>
          <w:tcPr>
            <w:tcW w:w="2829" w:type="dxa"/>
          </w:tcPr>
          <w:p w:rsidR="001A15EE" w:rsidRPr="00C84195" w:rsidRDefault="00C8419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C841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8. Через мірні стуки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, чутні на усіх режимах праці двигуна</w:t>
            </w:r>
            <w:r w:rsidRPr="00C841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2" w:type="dxa"/>
          </w:tcPr>
          <w:p w:rsidR="001A15EE" w:rsidRPr="00C84195" w:rsidRDefault="00C84195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Виплавління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шатунних та корінних підшипників</w:t>
            </w:r>
          </w:p>
        </w:tc>
        <w:tc>
          <w:tcPr>
            <w:tcW w:w="2917" w:type="dxa"/>
          </w:tcPr>
          <w:p w:rsidR="001A15EE" w:rsidRPr="00C84195" w:rsidRDefault="007A15A2" w:rsidP="00235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Тиск мастила дорівнює нулю, колінчастий вал шліфувати.</w:t>
            </w:r>
          </w:p>
        </w:tc>
      </w:tr>
    </w:tbl>
    <w:p w:rsidR="00A13D42" w:rsidRPr="00235BFA" w:rsidRDefault="00A13D42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35BFA" w:rsidRPr="00235BFA" w:rsidRDefault="00235BFA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E7634" w:rsidRPr="00A13D42" w:rsidRDefault="00FE7634" w:rsidP="0023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E7634" w:rsidRPr="00FE7634" w:rsidRDefault="00FE7634" w:rsidP="00FE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110" w:rsidRDefault="00BE4110" w:rsidP="00FE7634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Контрольний огляд технічного стану механізмів та систем двигунів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контрольних огляд технічного стану механізмів та систем двигунів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контрольного огляду технічного стану механізмів та систем двигунів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263D02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Контрольний огляд технічного стану механізмів і систем двигунів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00D42"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852BB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12E3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Підняти капот автомобіля </w:t>
      </w:r>
    </w:p>
    <w:p w:rsidR="00C45118" w:rsidRDefault="00D612E3" w:rsidP="00D612E3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00550" cy="3300413"/>
            <wp:effectExtent l="0" t="0" r="0" b="0"/>
            <wp:docPr id="5" name="Рисунок 5" descr="Ð¿Ð¾Ð´Ð½ÑÑÐ¸Ðµ ÐºÐ°Ð¿Ð¾ÑÐ° Ð±ÐµÐ· ÐºÐ¾ÑÐµÑÐ³Ð¸ (Ð¡ÑÑÐ°Ð½Ð¸ÑÐ° 1) â Ð¢ÑÐ½Ð¸Ð½Ð³ â Logan-ÐÐ»ÑÐ± Ð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´Ð½ÑÑÐ¸Ðµ ÐºÐ°Ð¿Ð¾ÑÐ° Ð±ÐµÐ· ÐºÐ¾ÑÐµÑÐ³Ð¸ (Ð¡ÑÑÐ°Ð½Ð¸ÑÐ° 1) â Ð¢ÑÐ½Ð¸Ð½Ð³ â Logan-ÐÐ»ÑÐ± Ð²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118" w:rsidRPr="00DB13C2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Запуск двигуна</w:t>
      </w:r>
    </w:p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D612E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0" cy="3236364"/>
            <wp:effectExtent l="0" t="0" r="0" b="2540"/>
            <wp:docPr id="6" name="Рисунок 6" descr="ÑÐºÐ¾Ð»ÑÐºÐ¾ Ð¼Ð¾Ð¶ÐµÑ ÑÑÐ¾ÑÑÑ Ð¼Ð°ÑÐ¸Ð½Ð° Ð±ÐµÐ· Ð´Ð²Ð¸Ð¶ÐµÐ½Ð¸Ñ - ÐÐ²ÑÐ¾ Ð¶ÑÑÐ½Ð°Ð» &quot;ÐÐ°ÑÐ°Ð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ÐºÐ¾Ð»ÑÐºÐ¾ Ð¼Ð¾Ð¶ÐµÑ ÑÑÐ¾ÑÑÑ Ð¼Ð°ÑÐ¸Ð½Ð° Ð±ÐµÐ· Ð´Ð²Ð¸Ð¶ÐµÐ½Ð¸Ñ - ÐÐ²ÑÐ¾ Ð¶ÑÑÐ½Ð°Ð» &quot;ÐÐ°ÑÐ°Ð¶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67" cy="32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D612E3"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Контрольний огляд технічного стану механізмів та систем двигунів</w:t>
            </w:r>
          </w:p>
          <w:p w:rsidR="00C45118" w:rsidRPr="00D612E3" w:rsidRDefault="00C45118" w:rsidP="00D6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D612E3"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D612E3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D612E3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Прослуховування двигуна стетоскопом</w:t>
      </w:r>
    </w:p>
    <w:p w:rsidR="00C45118" w:rsidRPr="001D475F" w:rsidRDefault="00D612E3" w:rsidP="00C45118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0" cy="3590925"/>
            <wp:effectExtent l="0" t="0" r="0" b="9525"/>
            <wp:docPr id="8" name="Рисунок 8" descr="ÐÐ°Ðº ÑÐ´ÐµÐ»Ð°ÑÑ Ð°Ð²ÑÐ¾Ð¼Ð¾Ð±Ð¸Ð»ÑÐ½ÑÐ¹ ÑÑÐµÑÐ¾ÑÐºÐ¾Ð¿ ÑÐ²Ð¾Ð¸Ð¼Ð¸ ÑÑÐºÐ°Ð¼Ð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Ðº ÑÐ´ÐµÐ»Ð°ÑÑ Ð°Ð²ÑÐ¾Ð¼Ð¾Ð±Ð¸Ð»ÑÐ½ÑÐ¹ ÑÑÐµÑÐ¾ÑÐºÐ¾Ð¿ ÑÐ²Ð¾Ð¸Ð¼Ð¸ ÑÑÐºÐ°Ð¼Ð¸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612E3" w:rsidRDefault="00D612E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12599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 відноситься до приладів для прослуховування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1259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Осцилограф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412599">
              <w:rPr>
                <w:rFonts w:ascii="Times New Roman" w:hAnsi="Times New Roman"/>
                <w:sz w:val="28"/>
                <w:szCs w:val="28"/>
                <w:lang w:val="uk-UA"/>
              </w:rPr>
              <w:t>тестер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61E55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якому двигуні виконують прослуховування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B61E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B61E55">
              <w:rPr>
                <w:rFonts w:ascii="Times New Roman" w:hAnsi="Times New Roman"/>
                <w:sz w:val="28"/>
                <w:szCs w:val="28"/>
                <w:lang w:val="uk-UA"/>
              </w:rPr>
              <w:t>на холодному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B61E55">
              <w:rPr>
                <w:rFonts w:ascii="Times New Roman" w:hAnsi="Times New Roman"/>
                <w:sz w:val="28"/>
                <w:szCs w:val="28"/>
                <w:lang w:val="uk-UA"/>
              </w:rPr>
              <w:t>на нагрітому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B61E55">
              <w:rPr>
                <w:rFonts w:ascii="Times New Roman" w:hAnsi="Times New Roman"/>
                <w:sz w:val="28"/>
                <w:szCs w:val="28"/>
                <w:lang w:val="uk-UA"/>
              </w:rPr>
              <w:t>не має різниці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не входить до засобів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захисту?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3679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136794">
              <w:rPr>
                <w:rFonts w:ascii="Times New Roman" w:hAnsi="Times New Roman"/>
                <w:sz w:val="28"/>
                <w:szCs w:val="28"/>
                <w:lang w:val="uk-UA"/>
              </w:rPr>
              <w:t>окуляри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Перчатки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4FC"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2907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КОНТРОЛЬНОМУ ОГЛЯДІ ТЕХНІЧНОГО СТАНУ МЕХАНІЗМІВ І СИСТЕМ ДВИГУНІВ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2907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контрольному огляді технічного стану механізмів і систем двигунів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Pr="00867E5A" w:rsidRDefault="006A3137" w:rsidP="00D5360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C7037" w:rsidRPr="00D5360E" w:rsidRDefault="007E58FD" w:rsidP="00D5360E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D5360E" w:rsidRPr="00200A7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https://www.youtube.com/watch?v=iMamO-s5aCo</w:t>
        </w:r>
      </w:hyperlink>
    </w:p>
    <w:p w:rsidR="00D5360E" w:rsidRPr="00D5360E" w:rsidRDefault="00D5360E" w:rsidP="00D5360E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https://www.youtube.com/watch?v=pA8xx_wOfso</w:t>
      </w:r>
    </w:p>
    <w:p w:rsidR="00AC7037" w:rsidRPr="00AC7037" w:rsidRDefault="00AC7037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перевіряють під час огляду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несправності можна виявити оглядом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B5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 </w:t>
      </w:r>
      <w:r w:rsidR="00BA2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прослуховування інструментом</w:t>
      </w:r>
    </w:p>
    <w:p w:rsid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P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434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можуть бути стуки у двигуні</w:t>
      </w:r>
    </w:p>
    <w:p w:rsidR="00CB73D4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0467A9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Опищіть безпеку праці при </w:t>
      </w:r>
      <w:r w:rsidR="007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контрольному огляді технічного стану механізмів та систем двигунів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CE77B3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3D4" w:rsidRPr="00CB73D4" w:rsidRDefault="00CB73D4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кросворд на </w:t>
      </w:r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дану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  <w:r w:rsidR="0030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00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В.О.Калмиков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FD" w:rsidRDefault="007E58FD" w:rsidP="00860615">
      <w:pPr>
        <w:spacing w:after="0" w:line="240" w:lineRule="auto"/>
      </w:pPr>
      <w:r>
        <w:separator/>
      </w:r>
    </w:p>
  </w:endnote>
  <w:endnote w:type="continuationSeparator" w:id="0">
    <w:p w:rsidR="007E58FD" w:rsidRDefault="007E58FD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FD" w:rsidRDefault="007E58FD" w:rsidP="00860615">
      <w:pPr>
        <w:spacing w:after="0" w:line="240" w:lineRule="auto"/>
      </w:pPr>
      <w:r>
        <w:separator/>
      </w:r>
    </w:p>
  </w:footnote>
  <w:footnote w:type="continuationSeparator" w:id="0">
    <w:p w:rsidR="007E58FD" w:rsidRDefault="007E58FD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15"/>
  </w:num>
  <w:num w:numId="18">
    <w:abstractNumId w:val="0"/>
  </w:num>
  <w:num w:numId="19">
    <w:abstractNumId w:val="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1481A"/>
    <w:rsid w:val="00045E2A"/>
    <w:rsid w:val="000467A9"/>
    <w:rsid w:val="00061596"/>
    <w:rsid w:val="00071D03"/>
    <w:rsid w:val="000A5729"/>
    <w:rsid w:val="000D7121"/>
    <w:rsid w:val="00103197"/>
    <w:rsid w:val="00103DA9"/>
    <w:rsid w:val="00113CA2"/>
    <w:rsid w:val="00131951"/>
    <w:rsid w:val="00133442"/>
    <w:rsid w:val="00136794"/>
    <w:rsid w:val="00141FD9"/>
    <w:rsid w:val="00155658"/>
    <w:rsid w:val="00157299"/>
    <w:rsid w:val="001730E6"/>
    <w:rsid w:val="00190678"/>
    <w:rsid w:val="001A15EE"/>
    <w:rsid w:val="001E01DE"/>
    <w:rsid w:val="001E028D"/>
    <w:rsid w:val="001F7704"/>
    <w:rsid w:val="002209DA"/>
    <w:rsid w:val="00225880"/>
    <w:rsid w:val="00235BFA"/>
    <w:rsid w:val="002421B2"/>
    <w:rsid w:val="00262373"/>
    <w:rsid w:val="00263D02"/>
    <w:rsid w:val="00273545"/>
    <w:rsid w:val="00290748"/>
    <w:rsid w:val="002944B9"/>
    <w:rsid w:val="002C40AC"/>
    <w:rsid w:val="003007BC"/>
    <w:rsid w:val="00311830"/>
    <w:rsid w:val="00324EC3"/>
    <w:rsid w:val="00327908"/>
    <w:rsid w:val="0033152E"/>
    <w:rsid w:val="00354ED8"/>
    <w:rsid w:val="003616CB"/>
    <w:rsid w:val="00364763"/>
    <w:rsid w:val="003C4E47"/>
    <w:rsid w:val="00407883"/>
    <w:rsid w:val="00412599"/>
    <w:rsid w:val="00434473"/>
    <w:rsid w:val="004506B9"/>
    <w:rsid w:val="00453D63"/>
    <w:rsid w:val="00495D7C"/>
    <w:rsid w:val="004E6343"/>
    <w:rsid w:val="004F3363"/>
    <w:rsid w:val="0051431F"/>
    <w:rsid w:val="0051671B"/>
    <w:rsid w:val="005249F3"/>
    <w:rsid w:val="00537941"/>
    <w:rsid w:val="005400A9"/>
    <w:rsid w:val="0054756C"/>
    <w:rsid w:val="00551CBC"/>
    <w:rsid w:val="005642BA"/>
    <w:rsid w:val="00582D0B"/>
    <w:rsid w:val="005C3D3E"/>
    <w:rsid w:val="005E7FE7"/>
    <w:rsid w:val="0064023C"/>
    <w:rsid w:val="006A3137"/>
    <w:rsid w:val="006B4678"/>
    <w:rsid w:val="006B5940"/>
    <w:rsid w:val="006D7634"/>
    <w:rsid w:val="006E5864"/>
    <w:rsid w:val="006F5BE3"/>
    <w:rsid w:val="00722A96"/>
    <w:rsid w:val="00740B9D"/>
    <w:rsid w:val="0076151A"/>
    <w:rsid w:val="00785814"/>
    <w:rsid w:val="007A15A2"/>
    <w:rsid w:val="007B7A4F"/>
    <w:rsid w:val="007C6337"/>
    <w:rsid w:val="007E58FD"/>
    <w:rsid w:val="00801E6B"/>
    <w:rsid w:val="0080671C"/>
    <w:rsid w:val="008252A7"/>
    <w:rsid w:val="00830739"/>
    <w:rsid w:val="00860615"/>
    <w:rsid w:val="0086773D"/>
    <w:rsid w:val="00867E5A"/>
    <w:rsid w:val="00896655"/>
    <w:rsid w:val="008A19D3"/>
    <w:rsid w:val="008A4431"/>
    <w:rsid w:val="008B26CA"/>
    <w:rsid w:val="00900C05"/>
    <w:rsid w:val="00911955"/>
    <w:rsid w:val="00950C21"/>
    <w:rsid w:val="009B1758"/>
    <w:rsid w:val="009E668E"/>
    <w:rsid w:val="009F3514"/>
    <w:rsid w:val="009F72BA"/>
    <w:rsid w:val="009F75CA"/>
    <w:rsid w:val="00A00F5E"/>
    <w:rsid w:val="00A13D42"/>
    <w:rsid w:val="00A274BE"/>
    <w:rsid w:val="00A55B45"/>
    <w:rsid w:val="00A633E8"/>
    <w:rsid w:val="00A946CD"/>
    <w:rsid w:val="00AA2197"/>
    <w:rsid w:val="00AA362D"/>
    <w:rsid w:val="00AB1088"/>
    <w:rsid w:val="00AB760F"/>
    <w:rsid w:val="00AC551A"/>
    <w:rsid w:val="00AC7037"/>
    <w:rsid w:val="00AD266A"/>
    <w:rsid w:val="00AF187F"/>
    <w:rsid w:val="00AF3238"/>
    <w:rsid w:val="00AF728E"/>
    <w:rsid w:val="00B200F1"/>
    <w:rsid w:val="00B2064E"/>
    <w:rsid w:val="00B2343E"/>
    <w:rsid w:val="00B24819"/>
    <w:rsid w:val="00B5264A"/>
    <w:rsid w:val="00B61E55"/>
    <w:rsid w:val="00BA2C5F"/>
    <w:rsid w:val="00BC5569"/>
    <w:rsid w:val="00BD2A89"/>
    <w:rsid w:val="00BE4110"/>
    <w:rsid w:val="00BE77DC"/>
    <w:rsid w:val="00BF63B8"/>
    <w:rsid w:val="00C11C2C"/>
    <w:rsid w:val="00C24A88"/>
    <w:rsid w:val="00C45118"/>
    <w:rsid w:val="00C673D3"/>
    <w:rsid w:val="00C83184"/>
    <w:rsid w:val="00C84195"/>
    <w:rsid w:val="00C91EF7"/>
    <w:rsid w:val="00C97AA3"/>
    <w:rsid w:val="00CA4157"/>
    <w:rsid w:val="00CB73D4"/>
    <w:rsid w:val="00CC43BB"/>
    <w:rsid w:val="00CE77B3"/>
    <w:rsid w:val="00CF6202"/>
    <w:rsid w:val="00D358B0"/>
    <w:rsid w:val="00D5360E"/>
    <w:rsid w:val="00D612E3"/>
    <w:rsid w:val="00DB40E3"/>
    <w:rsid w:val="00DD31F2"/>
    <w:rsid w:val="00DF1B0C"/>
    <w:rsid w:val="00E03557"/>
    <w:rsid w:val="00E04A9E"/>
    <w:rsid w:val="00E11658"/>
    <w:rsid w:val="00E12ABA"/>
    <w:rsid w:val="00E70CEA"/>
    <w:rsid w:val="00E847A2"/>
    <w:rsid w:val="00E909EE"/>
    <w:rsid w:val="00EE0572"/>
    <w:rsid w:val="00F00D42"/>
    <w:rsid w:val="00F03210"/>
    <w:rsid w:val="00F04722"/>
    <w:rsid w:val="00F4646C"/>
    <w:rsid w:val="00F7081D"/>
    <w:rsid w:val="00F852BB"/>
    <w:rsid w:val="00F95EA3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MamO-s5aCo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64</cp:revision>
  <dcterms:created xsi:type="dcterms:W3CDTF">2020-04-29T05:38:00Z</dcterms:created>
  <dcterms:modified xsi:type="dcterms:W3CDTF">2020-05-08T17:50:00Z</dcterms:modified>
</cp:coreProperties>
</file>