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2" w:rsidRDefault="00952082" w:rsidP="003600A2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14</w:t>
      </w:r>
      <w:r w:rsidR="003600A2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600A2" w:rsidRDefault="0095208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20</w:t>
      </w:r>
      <w:r w:rsidR="003600A2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952082">
        <w:rPr>
          <w:rFonts w:ascii="Times New Roman" w:hAnsi="Times New Roman"/>
          <w:bCs/>
          <w:sz w:val="24"/>
          <w:szCs w:val="24"/>
          <w:lang w:val="uk-UA"/>
        </w:rPr>
        <w:t xml:space="preserve">Виконання </w:t>
      </w:r>
      <w:proofErr w:type="spellStart"/>
      <w:r w:rsidR="00952082">
        <w:rPr>
          <w:rFonts w:ascii="Times New Roman" w:hAnsi="Times New Roman"/>
          <w:bCs/>
          <w:sz w:val="24"/>
          <w:szCs w:val="24"/>
          <w:lang w:val="uk-UA"/>
        </w:rPr>
        <w:t>безпіщаної</w:t>
      </w:r>
      <w:proofErr w:type="spellEnd"/>
      <w:r w:rsidR="00952082">
        <w:rPr>
          <w:rFonts w:ascii="Times New Roman" w:hAnsi="Times New Roman"/>
          <w:bCs/>
          <w:sz w:val="24"/>
          <w:szCs w:val="24"/>
          <w:lang w:val="uk-UA"/>
        </w:rPr>
        <w:t xml:space="preserve"> накривки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</w:t>
      </w:r>
      <w:proofErr w:type="spellStart"/>
      <w:r w:rsidR="00952082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="009520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3600A2" w:rsidRDefault="003600A2" w:rsidP="003600A2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3600A2" w:rsidRDefault="003600A2" w:rsidP="003600A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3600A2" w:rsidRDefault="003600A2" w:rsidP="003600A2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00A2" w:rsidRDefault="003600A2" w:rsidP="00360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52082" w:rsidRDefault="00952082" w:rsidP="003600A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камер коробів та каналів по сталевій сітці.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камер коробів та каналів по сталевій сітці.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камер коробів та каналів по сталевій сітці.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які за видом переплетення бувають металеві сітки?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який розмір отворів металевої сітки і де її використовують?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 для чого застосовують металеву сітку при обштукатурюванні?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за допомогою чого прикріпляють сітку до поверхні?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 яким інструментом наносять шар штукатурки на поверхню стіни?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яким розчином обштукатурюють поверхні?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технологію нанесення розчину на поверхню.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52082" w:rsidRDefault="00952082" w:rsidP="009520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Тести</w:t>
      </w:r>
    </w:p>
    <w:p w:rsidR="00952082" w:rsidRDefault="00952082" w:rsidP="009520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дописати речення)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1.Металеві сітки за видом переплетення поділяються на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Металева сітка має отвори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Канали в яких прокладені електричні або телефонні кабелі перед обштукатурюванням…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Для закриття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борозен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каналів ширина сітки повинна перевищувати на … см їхню ширину.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При нанесенні штукатурки на сітку перевага полягає в тому, що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Перший шар штукатурки на поверхню наносять за допомогою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Після висихання першого шару штукатурки наносять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Розчин накидають на поверхню під кутом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Штукатурний розчин розрівнюють за допомогою …</w:t>
      </w:r>
    </w:p>
    <w:p w:rsidR="00952082" w:rsidRDefault="00952082" w:rsidP="0095208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Працювати потрібно зі справним інструментом та в …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3600A2" w:rsidRDefault="003600A2" w:rsidP="003600A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   </w:t>
      </w:r>
      <w:proofErr w:type="spellStart"/>
      <w:r w:rsidR="00952082">
        <w:rPr>
          <w:rFonts w:ascii="Times New Roman" w:hAnsi="Times New Roman"/>
          <w:color w:val="000000"/>
          <w:sz w:val="24"/>
          <w:szCs w:val="24"/>
          <w:lang w:val="uk-UA" w:eastAsia="ru-RU"/>
        </w:rPr>
        <w:t>безпіщаної</w:t>
      </w:r>
      <w:proofErr w:type="spellEnd"/>
      <w:r w:rsidR="0095208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накривки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3600A2" w:rsidRDefault="003600A2" w:rsidP="003600A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Працювати в спецодязі, в рукавицях. Розчин брати інструментами, а не руками.</w:t>
      </w:r>
    </w:p>
    <w:p w:rsidR="003600A2" w:rsidRDefault="003600A2" w:rsidP="003600A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600A2" w:rsidRDefault="003600A2" w:rsidP="003600A2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3600A2" w:rsidRDefault="003600A2" w:rsidP="003600A2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3600A2" w:rsidRDefault="003600A2" w:rsidP="003600A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3600A2" w:rsidRDefault="003600A2" w:rsidP="003600A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600A2" w:rsidRDefault="003600A2" w:rsidP="003600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952082" w:rsidRDefault="00952082" w:rsidP="003600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sz w:val="24"/>
          <w:szCs w:val="24"/>
          <w:lang w:val="uk-UA" w:eastAsia="ru-RU"/>
        </w:rPr>
        <w:t>Для виконання робіт нам потрібні такі інструменти: гладилка; кельма; шпатель; щітка.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Theme="minorHAnsi" w:eastAsiaTheme="minorHAnsi" w:hAnsiTheme="minorHAnsi" w:cstheme="minorBidi"/>
          <w:noProof/>
          <w:lang w:val="uk-UA" w:eastAsia="ru-RU"/>
        </w:rPr>
      </w:pPr>
      <w:r w:rsidRPr="0095208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BECC201" wp14:editId="14DB4648">
            <wp:extent cx="1905000" cy="1362075"/>
            <wp:effectExtent l="0" t="0" r="0" b="9525"/>
            <wp:docPr id="14" name="Рисунок 14" descr="Гладилка Favorit 270 x 125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дилка Favorit 270 x 125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82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  <w:r w:rsidRPr="00952082">
        <w:rPr>
          <w:rFonts w:asciiTheme="minorHAnsi" w:eastAsiaTheme="minorHAnsi" w:hAnsiTheme="minorHAnsi" w:cstheme="minorBidi"/>
          <w:noProof/>
          <w:lang w:val="uk-UA" w:eastAsia="ru-RU"/>
        </w:rPr>
        <w:t xml:space="preserve">                    </w:t>
      </w:r>
      <w:r w:rsidRPr="0095208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B23E830" wp14:editId="6B8F3D78">
            <wp:extent cx="1905000" cy="1619250"/>
            <wp:effectExtent l="0" t="0" r="0" b="0"/>
            <wp:docPr id="15" name="Рисунок 15" descr="Гладилка Hardy Stucco з закругленими краями 20 х 9 с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дилка Hardy Stucco з закругленими краями 20 х 9 с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 xml:space="preserve">Гладилка                                              </w:t>
      </w:r>
      <w:proofErr w:type="spellStart"/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>гладилка</w:t>
      </w:r>
      <w:proofErr w:type="spellEnd"/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 xml:space="preserve"> з закругленими краями                 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2002D7F9" wp14:editId="28242514">
            <wp:extent cx="1409700" cy="1514475"/>
            <wp:effectExtent l="0" t="0" r="0" b="9525"/>
            <wp:docPr id="16" name="Рисунок 16" descr="Шпатель нерж. 100 мм // Польща - Інтернет-магазин &quot;Корд&quot; в Терн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патель нерж. 100 мм // Польща - Інтернет-магазин &quot;Корд&quot; в Терноп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9" cy="15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</w:t>
      </w:r>
      <w:r w:rsidRPr="0095208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DAF3DE5" wp14:editId="16E63490">
            <wp:extent cx="1800225" cy="1276350"/>
            <wp:effectExtent l="0" t="0" r="9525" b="0"/>
            <wp:docPr id="17" name="Рисунок 17" descr="https://bud-material.com/upload/images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-material.com/upload/images/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>Шпатель нержавіючий 100 мм                         штукатурна лопатка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AD77C48" wp14:editId="77C79671">
            <wp:extent cx="1781175" cy="1371600"/>
            <wp:effectExtent l="0" t="0" r="9525" b="0"/>
            <wp:docPr id="18" name="Рисунок 18" descr="https://bud-material.com/upload/images/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-material.com/upload/images/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щітка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виконаний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звичайних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до складу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входить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ісок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затирання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все-таки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шорсткий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Тому,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уникнути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поштукатурену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шпаклювати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іальними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сумішами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ефективним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вапняно-гіпсовим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(пастою) без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залізобетонних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конструкцій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добре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вирівняний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ідготовчий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два рази.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повинна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не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 мм.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Склад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вапняно-гі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псового</w:t>
      </w:r>
      <w:proofErr w:type="spellEnd"/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яку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Чим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менша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входити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Здебільшого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складу 1:2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1:3 (1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2—3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Спосіб приготування </w:t>
      </w:r>
      <w:proofErr w:type="spellStart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вапняно</w:t>
      </w:r>
      <w:proofErr w:type="spellEnd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– гіпсового розчину: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приготовляють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малими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порціями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дерев'яному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металевому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невеликого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Перед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змішуванням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пересівають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ібне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сито, 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розведене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водою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тісто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(молоко) —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проціджують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Готуючи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ящик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наливають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молоко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перемішування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утворитись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сметаноподібна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паста. Приготовлений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15—20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користуватись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гіпсовим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пересіяний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пс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змішують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приготовленою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2—3 %-ною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клейовою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водою.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Тваринний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клей, 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приготовляється</w:t>
      </w:r>
      <w:proofErr w:type="spellEnd"/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клейова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вода, як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сприяє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уповільненню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строку тверд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іння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вапна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Спосіб нанесення розчину на поверхню: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Одержаний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кельмою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накладають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сталеву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гладилку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намазують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шаром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завтовшки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0,5—0,8 мм. Нанесений шар зразу ж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розрівнюють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згладжують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,т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римаючи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кутом 10—15° до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Через 20—30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остаточно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обробляють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опоряджена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набрати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вигляду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дзеркального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блиску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дерев'яним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гумовим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короткою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відмоложеного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такого,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тужавіння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розведений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водою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розмішаний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втрачає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лущиться й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відпадає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ідвищує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продуктивність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штукатура в 1,5—2 рази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звільняє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маляра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потреби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суцільне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шпаклювання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866113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ділянках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помітних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око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подряпин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швів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грубої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фактури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дефектів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Master</w:t>
      </w:r>
      <w:proofErr w:type="spellEnd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Contour</w:t>
      </w:r>
      <w:proofErr w:type="spellEnd"/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952082" w:rsidRPr="00952082" w:rsidRDefault="00952082" w:rsidP="0095208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571319" wp14:editId="6C844C4B">
            <wp:extent cx="3324225" cy="2686050"/>
            <wp:effectExtent l="0" t="0" r="9525" b="0"/>
            <wp:docPr id="19" name="Рисунок 19" descr="http://tdelement.com.ua/image/cache/catalog/contou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delement.com.ua/image/cache/catalog/contou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89" cy="26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Contour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» призначена для підготовки і вирівнювання бетонних, цегляних та інших мінеральних основ під подальшу обробку різними декоративними матеріалами зовні та всередині будівель (товщина шару за один прохід не більше ніж 20 мм). Ефективно застосовується в приміщеннях із підвищеною вологістю: кухні, санвузли, ванні кімнати, паркінги, погреби, підвали тощо.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ручного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машинного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станцій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br/>
        <w:t xml:space="preserve">Для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ідвищеною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вологістю</w:t>
      </w:r>
      <w:proofErr w:type="spell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Запобігає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виникненню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цвілі</w:t>
      </w:r>
      <w:proofErr w:type="spell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Відмінна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фіксація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ніздрюватого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бетону</w:t>
      </w:r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Зручна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Вологостійка</w:t>
      </w:r>
      <w:proofErr w:type="spell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Висока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адгезія</w:t>
      </w:r>
      <w:proofErr w:type="spellEnd"/>
    </w:p>
    <w:p w:rsidR="00952082" w:rsidRPr="00952082" w:rsidRDefault="00952082" w:rsidP="00952082">
      <w:pPr>
        <w:numPr>
          <w:ilvl w:val="0"/>
          <w:numId w:val="3"/>
        </w:numPr>
        <w:spacing w:beforeAutospacing="1" w:after="0" w:afterAutospacing="1" w:line="240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52082" w:rsidRPr="00952082" w:rsidRDefault="00952082" w:rsidP="00952082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Морозостійка</w:t>
      </w:r>
      <w:proofErr w:type="spellEnd"/>
    </w:p>
    <w:p w:rsidR="00952082" w:rsidRPr="00952082" w:rsidRDefault="00952082" w:rsidP="00952082">
      <w:pPr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Підготовка поверхні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виконується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ДБН В.2.6-22-2001. Основа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бути: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чистою (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забруднення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напливи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пил,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грибкові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поразки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інструментом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вручну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очистити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ол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залишків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склоподібним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шорсткості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для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контакту 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сумішшю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основу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  (за 4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години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грибковими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поразками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протигрибковою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Інструкція щодо використання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+35°С. Температура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у таких же межах.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приміщеннях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діб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закінченні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температурного режиму не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нижче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і не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вище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+30°С.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зачинити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чистою водою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зазначена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характеристиках,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рекомендується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електродриль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гвинтовою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насадкою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витримати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Зачинена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придатна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120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рекомендованих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атмосферних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умов).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Master-Contour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накидаючи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подальшим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вирівнюванням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правилом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теркою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 Для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іщин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дірок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відколів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зачиняють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меншою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води.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Улаштовуючи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багатошарове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штукатурне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попереднього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Нанесений шар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Master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 ЦВ.1.ШТ</w:t>
      </w:r>
      <w:proofErr w:type="gram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ДСТУ Б В.2.7-126: 2011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50"/>
      </w:tblGrid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Цементно-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вапняна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суміш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модифікована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інеральними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заповнювачами</w:t>
            </w:r>
            <w:proofErr w:type="spellEnd"/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Крупність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1,0 мм</w:t>
            </w:r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20 - 25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Міцність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основою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0,3 МПа</w:t>
            </w:r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Межа </w:t>
            </w:r>
            <w:proofErr w:type="spellStart"/>
            <w:proofErr w:type="gram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іцності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стиск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МПа</w:t>
            </w:r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води</w:t>
            </w:r>
            <w:proofErr w:type="gram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0,2 л / 1 кг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+5</w:t>
            </w:r>
            <w:proofErr w:type="gram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+35 ºС</w:t>
            </w:r>
          </w:p>
        </w:tc>
      </w:tr>
      <w:tr w:rsidR="00952082" w:rsidRPr="00952082" w:rsidTr="00F435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Витрата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082" w:rsidRPr="00952082" w:rsidRDefault="00952082" w:rsidP="00952082">
            <w:pPr>
              <w:spacing w:after="15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1,8 кг / м/ 1 мм</w:t>
            </w:r>
          </w:p>
        </w:tc>
      </w:tr>
    </w:tbl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ефективні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відносній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60%.</w:t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Правила безпеки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Суха будівельна суміш містить цемент, який викликає лужну реакцію при гідратації, - при роботі необхідно берегти шкіру та очі. </w:t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іратор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гумові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рукавички. У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потрапляння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промити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великою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води і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звернутися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зазначеного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ідлягає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утилізації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ДСанПіН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2.2.7.029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зберігати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оригінальній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gram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сухому</w:t>
      </w:r>
      <w:proofErr w:type="gram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Гарантійний</w:t>
      </w:r>
      <w:proofErr w:type="spellEnd"/>
      <w:r w:rsidRPr="0095208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строк:</w:t>
      </w:r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виробник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норм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2082" w:rsidRPr="00952082" w:rsidRDefault="00952082" w:rsidP="00952082"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520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</w:p>
    <w:p w:rsidR="00952082" w:rsidRPr="00952082" w:rsidRDefault="00952082" w:rsidP="00952082">
      <w:pPr>
        <w:spacing w:before="300" w:after="150" w:line="240" w:lineRule="auto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r w:rsidRPr="00952082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MASTER КОНТУР ШТУКАТУРКА ЦЕМЕНТО-ВАПНЯНА ДЛЯ </w:t>
      </w:r>
      <w:proofErr w:type="gramStart"/>
      <w:r w:rsidRPr="00952082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 w:rsidRPr="00952082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ІДГОТОВКИ ТА ВИРІВНЮВАННЯ ПОВЕРХОНЬ, 25кг</w:t>
      </w:r>
    </w:p>
    <w:p w:rsidR="00952082" w:rsidRPr="00952082" w:rsidRDefault="00952082" w:rsidP="00952082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5. Пояснити, як наносять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6. Пояснити, яка товщина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7. Пояснити, від чого залежить склад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8. Пояснити, спосіб приготування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9 Пояснити, протягом якого часу використовують </w:t>
      </w:r>
      <w:proofErr w:type="spellStart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866113" w:rsidRPr="00952082" w:rsidRDefault="00866113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>Тест</w:t>
      </w:r>
    </w:p>
    <w:p w:rsidR="00952082" w:rsidRPr="00952082" w:rsidRDefault="00952082" w:rsidP="009520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5208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 w:rsidRPr="00952082">
        <w:rPr>
          <w:rFonts w:ascii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952082" w:rsidRPr="00952082" w:rsidRDefault="00952082" w:rsidP="009520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 w:rsidRPr="00952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 w:rsidRPr="00952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52082" w:rsidRPr="00952082" w:rsidTr="00F435B9">
        <w:tc>
          <w:tcPr>
            <w:tcW w:w="95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52082" w:rsidRPr="00952082" w:rsidRDefault="00952082" w:rsidP="00952082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952082" w:rsidRPr="00952082" w:rsidRDefault="00952082" w:rsidP="009520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952082" w:rsidRPr="00952082" w:rsidRDefault="003E7740" w:rsidP="00952082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14.</w:t>
      </w:r>
      <w:bookmarkStart w:id="0" w:name="_GoBack"/>
      <w:bookmarkEnd w:id="0"/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04 з 13</w:t>
      </w:r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952082" w:rsidRPr="00952082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="00952082" w:rsidRPr="00952082"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 w:rsidR="00952082" w:rsidRPr="00952082">
          <w:rPr>
            <w:rFonts w:ascii="Times New Roman" w:eastAsia="Calibri" w:hAnsi="Times New Roman"/>
            <w:b/>
            <w:bCs/>
            <w:color w:val="000000" w:themeColor="text1"/>
            <w:sz w:val="24"/>
            <w:szCs w:val="24"/>
            <w:u w:val="single"/>
            <w:lang w:val="en-US"/>
          </w:rPr>
          <w:t>Ludmilavv</w:t>
        </w:r>
        <w:r w:rsidR="00952082" w:rsidRPr="00952082">
          <w:rPr>
            <w:rFonts w:ascii="Times New Roman" w:eastAsia="Calibri" w:hAnsi="Times New Roman"/>
            <w:b/>
            <w:bCs/>
            <w:color w:val="000000" w:themeColor="text1"/>
            <w:sz w:val="24"/>
            <w:szCs w:val="24"/>
            <w:u w:val="single"/>
          </w:rPr>
          <w:t>25@</w:t>
        </w:r>
        <w:r w:rsidR="00952082" w:rsidRPr="00952082">
          <w:rPr>
            <w:rFonts w:ascii="Times New Roman" w:eastAsia="Calibri" w:hAnsi="Times New Roman"/>
            <w:b/>
            <w:bCs/>
            <w:color w:val="000000" w:themeColor="text1"/>
            <w:sz w:val="24"/>
            <w:szCs w:val="24"/>
            <w:u w:val="single"/>
            <w:lang w:val="en-US"/>
          </w:rPr>
          <w:t>gmail</w:t>
        </w:r>
        <w:r w:rsidR="00952082" w:rsidRPr="00952082">
          <w:rPr>
            <w:rFonts w:ascii="Times New Roman" w:eastAsia="Calibri" w:hAnsi="Times New Roman"/>
            <w:b/>
            <w:bCs/>
            <w:color w:val="000000" w:themeColor="text1"/>
            <w:sz w:val="24"/>
            <w:szCs w:val="24"/>
            <w:u w:val="single"/>
          </w:rPr>
          <w:t>.</w:t>
        </w:r>
        <w:r w:rsidR="00952082" w:rsidRPr="00952082">
          <w:rPr>
            <w:rFonts w:ascii="Times New Roman" w:eastAsia="Calibri" w:hAnsi="Times New Roman"/>
            <w:b/>
            <w:bCs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  <w:r w:rsidR="00952082" w:rsidRPr="0095208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 w:rsidRPr="00952082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952082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952082" w:rsidRPr="00952082" w:rsidRDefault="00952082" w:rsidP="00952082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952082" w:rsidRPr="00952082" w:rsidRDefault="00952082" w:rsidP="00952082">
      <w:pPr>
        <w:rPr>
          <w:rFonts w:ascii="Times New Roman" w:eastAsiaTheme="minorHAnsi" w:hAnsi="Times New Roman"/>
          <w:color w:val="000000" w:themeColor="text1"/>
          <w:sz w:val="24"/>
          <w:szCs w:val="24"/>
          <w:lang w:val="uk-UA"/>
        </w:rPr>
      </w:pPr>
    </w:p>
    <w:p w:rsidR="00952082" w:rsidRDefault="00952082" w:rsidP="00952082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</w:p>
    <w:p w:rsidR="00866113" w:rsidRDefault="00866113" w:rsidP="00952082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866113" w:rsidRDefault="00866113" w:rsidP="00952082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866113" w:rsidRDefault="00866113" w:rsidP="00952082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866113" w:rsidRPr="00866113" w:rsidRDefault="00866113" w:rsidP="00952082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952082" w:rsidRPr="00952082" w:rsidRDefault="00952082" w:rsidP="0095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952082">
        <w:rPr>
          <w:rFonts w:ascii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952082" w:rsidRPr="00952082" w:rsidRDefault="00952082" w:rsidP="0095208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952082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952082" w:rsidRPr="00952082" w:rsidRDefault="00952082" w:rsidP="00952082">
      <w:pPr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952082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Тема уроку: «Виконання </w:t>
      </w:r>
      <w:proofErr w:type="spellStart"/>
      <w:r w:rsidRPr="00952082">
        <w:rPr>
          <w:rFonts w:ascii="Times New Roman" w:eastAsiaTheme="minorHAnsi" w:hAnsi="Times New Roman"/>
          <w:b/>
          <w:sz w:val="24"/>
          <w:szCs w:val="24"/>
          <w:lang w:val="uk-UA"/>
        </w:rPr>
        <w:t>безпіщаною</w:t>
      </w:r>
      <w:proofErr w:type="spellEnd"/>
      <w:r w:rsidRPr="00952082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накривки»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952082" w:rsidRPr="00952082" w:rsidTr="00DA235D">
        <w:trPr>
          <w:trHeight w:val="1286"/>
        </w:trPr>
        <w:tc>
          <w:tcPr>
            <w:tcW w:w="3369" w:type="dxa"/>
            <w:gridSpan w:val="2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Інструменти,</w:t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пристрої,</w:t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інвентар</w:t>
            </w:r>
          </w:p>
        </w:tc>
      </w:tr>
      <w:tr w:rsidR="00952082" w:rsidRPr="00952082" w:rsidTr="00DA235D">
        <w:trPr>
          <w:trHeight w:val="4258"/>
        </w:trPr>
        <w:tc>
          <w:tcPr>
            <w:tcW w:w="3369" w:type="dxa"/>
            <w:gridSpan w:val="2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80365F4" wp14:editId="156B2FF0">
                  <wp:extent cx="1257300" cy="438150"/>
                  <wp:effectExtent l="0" t="0" r="0" b="0"/>
                  <wp:docPr id="20" name="Рисунок 20" descr="https://bud-material.com/upload/images/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d-material.com/upload/images/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  <w:r w:rsidRPr="0095208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4C1ACC0D" wp14:editId="3B12DB9A">
                  <wp:extent cx="1257300" cy="457200"/>
                  <wp:effectExtent l="0" t="0" r="0" b="0"/>
                  <wp:docPr id="21" name="Рисунок 21" descr="Гладилка Favorit 270 x 125 мм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ладилка Favorit 270 x 125 мм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  <w:r w:rsidRPr="0095208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5D7F645B" wp14:editId="7B39E6D9">
                  <wp:extent cx="1257300" cy="333375"/>
                  <wp:effectExtent l="0" t="0" r="0" b="9525"/>
                  <wp:docPr id="22" name="Рисунок 22" descr="Шпатель нерж. 100 мм // Польща - Інтернет-магазин &quot;Корд&quot; в Терно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патель нерж. 100 мм // Польща - Інтернет-магазин &quot;Корд&quot; в Терно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46" cy="33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  <w:r w:rsidRPr="0095208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775A1355" wp14:editId="55A4917F">
                  <wp:extent cx="1209675" cy="400050"/>
                  <wp:effectExtent l="0" t="0" r="9525" b="0"/>
                  <wp:docPr id="23" name="Рисунок 23" descr="https://bud-material.com/upload/images/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d-material.com/upload/images/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952082" w:rsidRPr="00952082" w:rsidRDefault="00952082" w:rsidP="00952082">
            <w:pPr>
              <w:shd w:val="clear" w:color="auto" w:fill="FFFFFF"/>
              <w:spacing w:before="150" w:after="150" w:line="276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lang w:val="uk-UA" w:eastAsia="ru-RU"/>
              </w:rPr>
              <w:t>1.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Одержаний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розчин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кельмою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накладають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сталеву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гладилку і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намазують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поверхню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шаром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завтовшки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0,5—0,8 мм. </w:t>
            </w:r>
          </w:p>
          <w:p w:rsidR="00952082" w:rsidRPr="00952082" w:rsidRDefault="00952082" w:rsidP="00952082">
            <w:pPr>
              <w:shd w:val="clear" w:color="auto" w:fill="FFFFFF"/>
              <w:spacing w:before="150" w:after="150" w:line="276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2.Нанесений шар зразу ж розрівнюють і згладжують тією ж гладилкою, тримаючи її під кутом 10—15° до поверхні. </w:t>
            </w:r>
          </w:p>
          <w:p w:rsidR="00952082" w:rsidRPr="00952082" w:rsidRDefault="00952082" w:rsidP="00952082">
            <w:pPr>
              <w:shd w:val="clear" w:color="auto" w:fill="FFFFFF"/>
              <w:spacing w:before="150" w:after="150" w:line="276" w:lineRule="auto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lang w:val="uk-UA" w:eastAsia="ru-RU"/>
              </w:rPr>
              <w:t>3.</w:t>
            </w:r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Через 20—30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хв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наносять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другий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шар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безпіскової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накривки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і остаточно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його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обробляють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гладилкою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, а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потім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щіткою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змоченою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воді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559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---гладилка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---щітка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---відро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---штукатур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на лопатка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---ящик для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розчину</w:t>
            </w:r>
          </w:p>
          <w:p w:rsidR="00952082" w:rsidRPr="00952082" w:rsidRDefault="00952082" w:rsidP="00952082">
            <w:pPr>
              <w:numPr>
                <w:ilvl w:val="0"/>
                <w:numId w:val="2"/>
              </w:numPr>
              <w:shd w:val="clear" w:color="auto" w:fill="FFFFFF"/>
              <w:spacing w:after="200" w:line="300" w:lineRule="atLeast"/>
              <w:ind w:left="0"/>
              <w:rPr>
                <w:rFonts w:ascii="Times New Roman" w:hAnsi="Times New Roman"/>
                <w:color w:val="1A1A1A"/>
                <w:lang w:eastAsia="ru-RU"/>
              </w:rPr>
            </w:pPr>
            <w:r w:rsidRPr="00952082">
              <w:rPr>
                <w:rFonts w:ascii="Times New Roman" w:hAnsi="Times New Roman"/>
                <w:color w:val="1A1A1A"/>
                <w:lang w:eastAsia="ru-RU"/>
              </w:rPr>
              <w:t xml:space="preserve"> </w:t>
            </w:r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---</w:t>
            </w:r>
            <w:proofErr w:type="spellStart"/>
            <w:r w:rsidRPr="00952082">
              <w:rPr>
                <w:rFonts w:ascii="Times New Roman" w:hAnsi="Times New Roman"/>
                <w:color w:val="1A1A1A"/>
                <w:lang w:val="uk-UA" w:eastAsia="ru-RU"/>
              </w:rPr>
              <w:t>шпалель</w:t>
            </w:r>
            <w:proofErr w:type="spellEnd"/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952082" w:rsidRPr="00952082" w:rsidTr="00DA235D">
        <w:trPr>
          <w:trHeight w:val="814"/>
        </w:trPr>
        <w:tc>
          <w:tcPr>
            <w:tcW w:w="1668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952082" w:rsidRPr="00952082" w:rsidTr="00F435B9">
        <w:tc>
          <w:tcPr>
            <w:tcW w:w="1665" w:type="dxa"/>
          </w:tcPr>
          <w:p w:rsidR="00952082" w:rsidRPr="00DA235D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  <w:r w:rsidRPr="00952082">
              <w:rPr>
                <w:rFonts w:ascii="Times New Roman" w:eastAsiaTheme="minorHAnsi" w:hAnsi="Times New Roman"/>
                <w:lang w:val="uk-UA"/>
              </w:rPr>
              <w:t>Розчин</w:t>
            </w:r>
            <w:r w:rsidR="00DA235D" w:rsidRPr="00DA235D">
              <w:rPr>
                <w:rFonts w:ascii="Times New Roman" w:eastAsiaTheme="minorHAnsi" w:hAnsi="Times New Roman"/>
                <w:lang w:val="uk-UA"/>
              </w:rPr>
              <w:t>;</w:t>
            </w:r>
          </w:p>
          <w:p w:rsidR="00DA235D" w:rsidRPr="00952082" w:rsidRDefault="00DA235D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  <w:r w:rsidRPr="00DA235D">
              <w:rPr>
                <w:rFonts w:ascii="Times New Roman" w:eastAsiaTheme="minorHAnsi" w:hAnsi="Times New Roman"/>
                <w:lang w:val="uk-UA"/>
              </w:rPr>
              <w:t>гіпс</w:t>
            </w:r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704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b/>
                <w:lang w:val="uk-UA"/>
              </w:rPr>
            </w:pPr>
            <w:r w:rsidRPr="00952082">
              <w:rPr>
                <w:rFonts w:ascii="Times New Roman" w:eastAsiaTheme="minorHAnsi" w:hAnsi="Times New Roman"/>
                <w:lang w:val="uk-UA"/>
              </w:rPr>
              <w:t>У процесі роботи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952082" w:rsidRPr="00952082" w:rsidRDefault="00952082" w:rsidP="00952082">
            <w:pPr>
              <w:shd w:val="clear" w:color="auto" w:fill="FFFFFF"/>
              <w:spacing w:before="100" w:beforeAutospacing="1" w:after="200" w:line="36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52082">
              <w:rPr>
                <w:rFonts w:ascii="Times New Roman" w:hAnsi="Times New Roman"/>
                <w:color w:val="000000" w:themeColor="text1"/>
                <w:lang w:val="uk-UA" w:eastAsia="ru-RU"/>
              </w:rPr>
              <w:t>О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поряджена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поверхня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має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набрати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вигляду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дзеркального</w:t>
            </w:r>
            <w:proofErr w:type="spellEnd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52082">
              <w:rPr>
                <w:rFonts w:ascii="Times New Roman" w:hAnsi="Times New Roman"/>
                <w:color w:val="000000" w:themeColor="text1"/>
                <w:lang w:eastAsia="ru-RU"/>
              </w:rPr>
              <w:t>блиску</w:t>
            </w:r>
            <w:proofErr w:type="spellEnd"/>
          </w:p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952082" w:rsidRPr="00952082" w:rsidRDefault="00952082" w:rsidP="00952082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lang w:val="uk-UA"/>
              </w:rPr>
            </w:pPr>
            <w:r w:rsidRPr="00952082">
              <w:rPr>
                <w:rFonts w:ascii="Times New Roman" w:eastAsiaTheme="minorHAnsi" w:hAnsi="Times New Roman"/>
                <w:color w:val="000000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952082" w:rsidRPr="00DA235D" w:rsidRDefault="00952082" w:rsidP="003600A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3600A2" w:rsidRPr="00DA235D" w:rsidRDefault="003600A2" w:rsidP="003600A2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lang w:eastAsia="ru-RU"/>
        </w:rPr>
      </w:pPr>
      <w:r w:rsidRPr="00DA235D">
        <w:rPr>
          <w:rFonts w:ascii="Times New Roman" w:hAnsi="Times New Roman"/>
          <w:color w:val="000000" w:themeColor="text1"/>
          <w:lang w:eastAsia="ru-RU"/>
        </w:rPr>
        <w:lastRenderedPageBreak/>
        <w:t> </w:t>
      </w:r>
      <w:r w:rsidRPr="00DA235D">
        <w:rPr>
          <w:rFonts w:ascii="Times New Roman" w:hAnsi="Times New Roman"/>
          <w:color w:val="000000" w:themeColor="text1"/>
          <w:lang w:val="uk-UA" w:eastAsia="ru-RU"/>
        </w:rPr>
        <w:t xml:space="preserve"> </w:t>
      </w:r>
    </w:p>
    <w:p w:rsidR="003600A2" w:rsidRDefault="003600A2" w:rsidP="00952082">
      <w:pPr>
        <w:shd w:val="clear" w:color="auto" w:fill="FFFFFF"/>
        <w:spacing w:before="240" w:after="240" w:line="330" w:lineRule="atLeast"/>
      </w:pPr>
    </w:p>
    <w:p w:rsidR="00C4127E" w:rsidRDefault="00C4127E"/>
    <w:sectPr w:rsidR="00C4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2C"/>
    <w:rsid w:val="003600A2"/>
    <w:rsid w:val="003E7740"/>
    <w:rsid w:val="00513C2C"/>
    <w:rsid w:val="00866113"/>
    <w:rsid w:val="00952082"/>
    <w:rsid w:val="00C4127E"/>
    <w:rsid w:val="00D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A2"/>
    <w:pPr>
      <w:ind w:left="720"/>
      <w:contextualSpacing/>
    </w:pPr>
  </w:style>
  <w:style w:type="table" w:styleId="a4">
    <w:name w:val="Table Grid"/>
    <w:basedOn w:val="a1"/>
    <w:uiPriority w:val="59"/>
    <w:rsid w:val="003600A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0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0A2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5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A2"/>
    <w:pPr>
      <w:ind w:left="720"/>
      <w:contextualSpacing/>
    </w:pPr>
  </w:style>
  <w:style w:type="table" w:styleId="a4">
    <w:name w:val="Table Grid"/>
    <w:basedOn w:val="a1"/>
    <w:uiPriority w:val="59"/>
    <w:rsid w:val="003600A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00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0A2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5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udmilavv2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2020-05-16T13:56:00Z</dcterms:created>
  <dcterms:modified xsi:type="dcterms:W3CDTF">2020-05-18T05:34:00Z</dcterms:modified>
</cp:coreProperties>
</file>