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846F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18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.03.20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тел: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E0596" w:rsidRPr="0063785F" w:rsidRDefault="004E0596" w:rsidP="004E059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846FD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8745BA" w:rsidRPr="00846FD9" w:rsidRDefault="008745BA" w:rsidP="008745BA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846FD9"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="00846FD9"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890FB7" w:rsidRPr="0063785F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846FD9" w:rsidRPr="00846FD9">
        <w:rPr>
          <w:rFonts w:ascii="Times New Roman" w:hAnsi="Times New Roman"/>
          <w:sz w:val="28"/>
          <w:szCs w:val="28"/>
          <w:lang w:val="uk-UA"/>
        </w:rPr>
        <w:t>Виконання робіт з розбирання автомобілів</w:t>
      </w:r>
      <w:r w:rsidR="009836DC" w:rsidRPr="009836D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8190A" w:rsidRPr="0018190A" w:rsidRDefault="00890FB7" w:rsidP="001819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eastAsia="Batang" w:hAnsi="Times New Roman"/>
          <w:bCs/>
          <w:sz w:val="28"/>
          <w:szCs w:val="28"/>
          <w:lang w:val="uk-UA"/>
        </w:rPr>
        <w:t>виконанні робіт з розбирання автомобілів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18190A" w:rsidRPr="0018190A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8190A" w:rsidRP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gramStart"/>
      <w:r w:rsidRPr="0018190A"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 w:rsidRPr="0018190A">
        <w:rPr>
          <w:rFonts w:ascii="Times New Roman" w:hAnsi="Times New Roman"/>
          <w:bCs/>
          <w:iCs/>
          <w:sz w:val="28"/>
          <w:szCs w:val="28"/>
        </w:rPr>
        <w:t xml:space="preserve">ійкого професійного інтересу </w:t>
      </w:r>
      <w:r w:rsidRPr="0018190A">
        <w:rPr>
          <w:rFonts w:ascii="Times New Roman" w:hAnsi="Times New Roman"/>
          <w:iCs/>
          <w:sz w:val="28"/>
          <w:szCs w:val="28"/>
        </w:rPr>
        <w:t xml:space="preserve"> при </w:t>
      </w:r>
      <w:r>
        <w:rPr>
          <w:rFonts w:ascii="Times New Roman" w:eastAsia="Batang" w:hAnsi="Times New Roman"/>
          <w:bCs/>
          <w:sz w:val="28"/>
          <w:szCs w:val="28"/>
          <w:lang w:val="uk-UA"/>
        </w:rPr>
        <w:t>виконанні робіт з розбирання автомобілів</w:t>
      </w:r>
    </w:p>
    <w:p w:rsidR="00890FB7" w:rsidRPr="0063785F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3945"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="00FA3945"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FA3945">
        <w:rPr>
          <w:rFonts w:ascii="Times New Roman" w:eastAsia="Batang" w:hAnsi="Times New Roman"/>
          <w:bCs/>
          <w:sz w:val="28"/>
          <w:szCs w:val="28"/>
          <w:lang w:val="uk-UA"/>
        </w:rPr>
        <w:t>виконанні робіт з розбирання автомобілів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конспект, інструкційно-технологічна карта</w:t>
      </w:r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63785F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="00890FB7"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BC1EA8" w:rsidRP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63785F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="00890FB7"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890FB7" w:rsidRPr="0063785F" w:rsidRDefault="00890FB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BC1EA8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наведених нижче оберіть той</w:t>
      </w:r>
      <w:r w:rsidR="003979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вогнегасник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яким можливо гасити пожежу в електроустановці </w:t>
      </w:r>
      <w:r w:rsidR="00890FB7"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А) </w:t>
      </w:r>
      <w:r w:rsidR="00FD0E40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</w:p>
    <w:p w:rsidR="00FD0E40" w:rsidRDefault="00FD0E40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Б) 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ВВК</w:t>
      </w:r>
    </w:p>
    <w:p w:rsidR="00FD0E40" w:rsidRPr="00BC1EA8" w:rsidRDefault="00FD0E40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В) 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ВВП</w:t>
      </w:r>
    </w:p>
    <w:p w:rsidR="00890FB7" w:rsidRPr="0063785F" w:rsidRDefault="00890FB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90FB7" w:rsidRPr="00FA2739" w:rsidRDefault="00FA2739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види електротравматизму ви знаєте</w:t>
      </w:r>
    </w:p>
    <w:p w:rsidR="00FA2739" w:rsidRPr="00FA2739" w:rsidRDefault="00FA273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4DB" w:rsidRDefault="004E0596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Надання першої медичної допомоги при ураженні струмом</w:t>
      </w:r>
    </w:p>
    <w:p w:rsidR="004E0596" w:rsidRPr="004E0596" w:rsidRDefault="004E0596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49" w:rsidRPr="0063785F" w:rsidRDefault="000E344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745BA" w:rsidRDefault="008745BA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яснення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EB7FDD" w:rsidRDefault="000F18B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EF3824" w:rsidRPr="00900C05" w:rsidRDefault="00EF3824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уважним, не відволікатися сам і не відволікати інших;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допускати на робоче місце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не мають відношення до роботи; не проводити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поза робочим місцем без дозволу майстра;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захисту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обов'язково користуватися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працювати на несправному обладнанні; про помічені несправності на робочому місці і в обладнанні повідомити майстру і без його вказівки до роботи не приступати;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обов'язково відключати обладнання при перервах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роботі;</w:t>
      </w:r>
    </w:p>
    <w:p w:rsidR="00EF3824" w:rsidRPr="00900C05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виконувати тільки ту роботу, яка доручена майстром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якій дано інструктаж;</w:t>
      </w:r>
    </w:p>
    <w:p w:rsidR="00EF3824" w:rsidRPr="00A633E8" w:rsidRDefault="00EF3824" w:rsidP="00EF382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з’єднань виконувати в окулярах, захисній масці від пилу або распіраторі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24" w:rsidRPr="00A633E8" w:rsidRDefault="00EF3824" w:rsidP="00EF3824">
      <w:pPr>
        <w:numPr>
          <w:ilvl w:val="1"/>
          <w:numId w:val="25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F3824" w:rsidRPr="00045E2A" w:rsidRDefault="00EF3824" w:rsidP="00EF382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99BA1" wp14:editId="1FA422BE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слюсарно-підганяльні і інші роботи.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EF3824" w:rsidRPr="00BD2A89" w:rsidRDefault="00EF3824" w:rsidP="00EF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EF3824" w:rsidRPr="006B5940" w:rsidRDefault="00EF3824" w:rsidP="00EF3824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F3824" w:rsidRPr="00045E2A" w:rsidRDefault="00EF3824" w:rsidP="00EF382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столі стоїть передбачити пристосування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 укладання власника в процесі перестановки вироби;</w:t>
      </w:r>
    </w:p>
    <w:p w:rsidR="00EF3824" w:rsidRPr="00045E2A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швидкого доступу до витратних 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іалів;</w:t>
      </w:r>
    </w:p>
    <w:p w:rsidR="00EF3824" w:rsidRPr="00C673D3" w:rsidRDefault="00EF3824" w:rsidP="00EF382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 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напилка, ліхтарика,  щітки по металу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F3824" w:rsidRPr="00045E2A" w:rsidRDefault="00EF3824" w:rsidP="00EF3824">
      <w:pPr>
        <w:numPr>
          <w:ilvl w:val="1"/>
          <w:numId w:val="2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EF3824" w:rsidRPr="00A633E8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Pr="00C673D3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F3824" w:rsidRDefault="00EF3824" w:rsidP="00EF382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  <w:lang w:val="uk-UA"/>
        </w:rPr>
      </w:pPr>
      <w:r w:rsidRPr="00F876DB">
        <w:rPr>
          <w:color w:val="121212"/>
          <w:sz w:val="28"/>
          <w:szCs w:val="28"/>
          <w:lang w:val="uk-UA"/>
        </w:rPr>
        <w:t>1.</w:t>
      </w:r>
      <w:r w:rsidRPr="00F876DB">
        <w:rPr>
          <w:color w:val="121212"/>
          <w:sz w:val="28"/>
          <w:szCs w:val="28"/>
        </w:rPr>
        <w:t> </w:t>
      </w:r>
      <w:r w:rsidRPr="00F876DB">
        <w:rPr>
          <w:i/>
          <w:iCs/>
          <w:color w:val="121212"/>
          <w:sz w:val="28"/>
          <w:szCs w:val="28"/>
          <w:lang w:val="uk-UA"/>
        </w:rPr>
        <w:t>Розбирання</w:t>
      </w:r>
      <w:r w:rsidRPr="00F876DB">
        <w:rPr>
          <w:i/>
          <w:iCs/>
          <w:color w:val="121212"/>
          <w:sz w:val="28"/>
          <w:szCs w:val="28"/>
        </w:rPr>
        <w:t> </w:t>
      </w:r>
      <w:r w:rsidRPr="00F876DB">
        <w:rPr>
          <w:color w:val="121212"/>
          <w:sz w:val="28"/>
          <w:szCs w:val="28"/>
          <w:lang w:val="uk-UA"/>
        </w:rPr>
        <w:t>– це сукупність операцій, призначених для роз'єднання об'єктів ремонту (автомобілів і агрегатів) на складальні одиниці і деталі, в певній технологічній послідовності.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  <w:lang w:val="uk-UA"/>
        </w:rPr>
      </w:pPr>
      <w:r w:rsidRPr="00F876DB">
        <w:rPr>
          <w:color w:val="121212"/>
          <w:sz w:val="28"/>
          <w:szCs w:val="28"/>
          <w:lang w:val="uk-UA"/>
        </w:rPr>
        <w:t>Трудомісткість розбірних робіт в процесі КР автомобілів і агрегатів становить 10 - 15% загальної трудомісткості ремонту, при цьому 60% припадає на різьбові, 20% на пресові з'єднання.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Технологічний процес розбирання дає АРП до 70% деталей для </w:t>
      </w:r>
      <w:proofErr w:type="gramStart"/>
      <w:r w:rsidRPr="00F876DB">
        <w:rPr>
          <w:color w:val="121212"/>
          <w:sz w:val="28"/>
          <w:szCs w:val="28"/>
        </w:rPr>
        <w:t>повторного</w:t>
      </w:r>
      <w:proofErr w:type="gramEnd"/>
      <w:r w:rsidRPr="00F876DB">
        <w:rPr>
          <w:color w:val="121212"/>
          <w:sz w:val="28"/>
          <w:szCs w:val="28"/>
        </w:rPr>
        <w:t xml:space="preserve"> використання. Придатні деталі обходяться ремонтному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ідприємству в 6 ... 10% від їх ціни, відремонтовані в 30 ... 40%, а заміна деталей в 110 ... 150%.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Розбирання автомобілів і агрегаті</w:t>
      </w:r>
      <w:proofErr w:type="gramStart"/>
      <w:r w:rsidRPr="00F876DB">
        <w:rPr>
          <w:color w:val="121212"/>
          <w:sz w:val="28"/>
          <w:szCs w:val="28"/>
        </w:rPr>
        <w:t>в проводиться</w:t>
      </w:r>
      <w:proofErr w:type="gramEnd"/>
      <w:r w:rsidRPr="00F876DB">
        <w:rPr>
          <w:color w:val="121212"/>
          <w:sz w:val="28"/>
          <w:szCs w:val="28"/>
        </w:rPr>
        <w:t xml:space="preserve"> згідно карт технологічного процесу, використовуючи зазначені в них універсальні і спеціальні стенди та оснащення. Ступінь розбирання визначається виглядом ремонту і </w:t>
      </w:r>
      <w:proofErr w:type="gramStart"/>
      <w:r w:rsidRPr="00F876DB">
        <w:rPr>
          <w:color w:val="121212"/>
          <w:sz w:val="28"/>
          <w:szCs w:val="28"/>
        </w:rPr>
        <w:t>техн</w:t>
      </w:r>
      <w:proofErr w:type="gramEnd"/>
      <w:r w:rsidRPr="00F876DB">
        <w:rPr>
          <w:color w:val="121212"/>
          <w:sz w:val="28"/>
          <w:szCs w:val="28"/>
        </w:rPr>
        <w:t>ічним станом об'єктів розбирання.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Розбирання автомобілів і агрегатів виробляють </w:t>
      </w:r>
      <w:proofErr w:type="gramStart"/>
      <w:r w:rsidRPr="00F876DB">
        <w:rPr>
          <w:color w:val="121212"/>
          <w:sz w:val="28"/>
          <w:szCs w:val="28"/>
        </w:rPr>
        <w:t>у</w:t>
      </w:r>
      <w:proofErr w:type="gramEnd"/>
      <w:r w:rsidRPr="00F876DB">
        <w:rPr>
          <w:color w:val="121212"/>
          <w:sz w:val="28"/>
          <w:szCs w:val="28"/>
        </w:rPr>
        <w:t xml:space="preserve"> відповідності з наступним основними правилами: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спочатку знімають легкопошкоджувальні і захисні частини (електроустаткування</w:t>
      </w:r>
      <w:proofErr w:type="gramStart"/>
      <w:r w:rsidRPr="00F876DB">
        <w:rPr>
          <w:color w:val="121212"/>
          <w:sz w:val="28"/>
          <w:szCs w:val="28"/>
        </w:rPr>
        <w:t xml:space="preserve"> ,</w:t>
      </w:r>
      <w:proofErr w:type="gramEnd"/>
      <w:r w:rsidRPr="00F876DB">
        <w:rPr>
          <w:color w:val="121212"/>
          <w:sz w:val="28"/>
          <w:szCs w:val="28"/>
        </w:rPr>
        <w:t xml:space="preserve"> паливо - і маслопроводи , шланги , крила і т.д.) , потім самостійні складальні одиниці (радіатори, кабіну , двигун , редуктори) , які очищають і розбирають на деталі;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lastRenderedPageBreak/>
        <w:t>· агрегати ( гідросистеми</w:t>
      </w:r>
      <w:proofErr w:type="gramStart"/>
      <w:r w:rsidRPr="00F876DB">
        <w:rPr>
          <w:color w:val="121212"/>
          <w:sz w:val="28"/>
          <w:szCs w:val="28"/>
        </w:rPr>
        <w:t xml:space="preserve"> ,</w:t>
      </w:r>
      <w:proofErr w:type="gramEnd"/>
      <w:r w:rsidRPr="00F876DB">
        <w:rPr>
          <w:color w:val="121212"/>
          <w:sz w:val="28"/>
          <w:szCs w:val="28"/>
        </w:rPr>
        <w:t xml:space="preserve"> електрообладнання , паливної апаратури , пневмосистеми і т.д.) після зняття з автомобіля направляють на спеціальні ділянки для визначення технічного стану і при необхідності ремонту;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в процесі розбирання не рекомендується розкомплектовувати сполучені пари</w:t>
      </w:r>
      <w:proofErr w:type="gramStart"/>
      <w:r w:rsidRPr="00F876DB">
        <w:rPr>
          <w:color w:val="121212"/>
          <w:sz w:val="28"/>
          <w:szCs w:val="28"/>
        </w:rPr>
        <w:t xml:space="preserve"> ,</w:t>
      </w:r>
      <w:proofErr w:type="gramEnd"/>
      <w:r w:rsidRPr="00F876DB">
        <w:rPr>
          <w:color w:val="121212"/>
          <w:sz w:val="28"/>
          <w:szCs w:val="28"/>
        </w:rPr>
        <w:t xml:space="preserve"> які на заводі-виробнику обробляються в зборі або балансують (кришки корінних підшипників з блоком циліндрів , кришки шатунів з шатунами , картер зчеплення з блоком циліндрів , колінчастий вал з маховиком двигуна) , а також при робиться пари деталей і придатні для подальшої роботи ( конічні шестерні головної передачі</w:t>
      </w:r>
      <w:proofErr w:type="gramStart"/>
      <w:r w:rsidRPr="00F876DB">
        <w:rPr>
          <w:color w:val="121212"/>
          <w:sz w:val="28"/>
          <w:szCs w:val="28"/>
        </w:rPr>
        <w:t xml:space="preserve"> ,</w:t>
      </w:r>
      <w:proofErr w:type="gramEnd"/>
      <w:r w:rsidRPr="00F876DB">
        <w:rPr>
          <w:color w:val="121212"/>
          <w:sz w:val="28"/>
          <w:szCs w:val="28"/>
        </w:rPr>
        <w:t xml:space="preserve"> розподільні шестерні , шестірні масляних насосів та ін.). Деталі, які не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ідлягають знеособлення, мітять, пов'язують, знову з'єднують болтами, укладають в окремі кошики або зберігають їх компетентність ін. способами;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в процесі розбирання необхідно використовувати стенди, знімачі, пристосування та інструменти, які дозволяють центрувати знімаються деталі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 xml:space="preserve">івномірно розподіляти зусилля по їх периметру. При пресуванні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 xml:space="preserve">ідшипників, сальників, втулок застосовують оправлення та вибивачі з м'якими наконечниками (мідними, зі сплавів алюмінію). Якщо пресуванні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 з маточини або склянки, то зусилля прикладають до зовнішньому кільцю, а при знятті з валу - до внутрішнього. При цьому забороняється користуватися ударними інструментами;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</w:t>
      </w:r>
      <w:proofErr w:type="gramStart"/>
      <w:r w:rsidRPr="00F876DB">
        <w:rPr>
          <w:color w:val="121212"/>
          <w:sz w:val="28"/>
          <w:szCs w:val="28"/>
        </w:rPr>
        <w:t>кр</w:t>
      </w:r>
      <w:proofErr w:type="gramEnd"/>
      <w:r w:rsidRPr="00F876DB">
        <w:rPr>
          <w:color w:val="121212"/>
          <w:sz w:val="28"/>
          <w:szCs w:val="28"/>
        </w:rPr>
        <w:t>іпильні деталі (гайки, болти, шпильки) при розбиранні укладають в сітчасту тару для кращого очищення в мийних установках або встановлюють на свої місця.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Забороняється розкомплектовувати деталі з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 xml:space="preserve">ізьбленням підвищеної точності (болти і гайки кришок шатунів, маховика до колін / валу. При розбиранні, особливо для чавунних деталей (щоб уникнути появи </w:t>
      </w:r>
      <w:proofErr w:type="gramStart"/>
      <w:r w:rsidRPr="00F876DB">
        <w:rPr>
          <w:color w:val="121212"/>
          <w:sz w:val="28"/>
          <w:szCs w:val="28"/>
        </w:rPr>
        <w:t>тр</w:t>
      </w:r>
      <w:proofErr w:type="gramEnd"/>
      <w:r w:rsidRPr="00F876DB">
        <w:rPr>
          <w:color w:val="121212"/>
          <w:sz w:val="28"/>
          <w:szCs w:val="28"/>
        </w:rPr>
        <w:t>іщин від перекосів), спочатку відпускають всі болти або гайки на півоберта, а потім від'єднують їх повністю;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відкриття порожнини і отвори для масла і палива в гідроагрегатах і паливної апаратури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ісля зняття з машини закривають кришками і пробками;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якщо мітки перед розбиранням </w:t>
      </w:r>
      <w:proofErr w:type="gramStart"/>
      <w:r w:rsidRPr="00F876DB">
        <w:rPr>
          <w:color w:val="121212"/>
          <w:sz w:val="28"/>
          <w:szCs w:val="28"/>
        </w:rPr>
        <w:t>погано</w:t>
      </w:r>
      <w:proofErr w:type="gramEnd"/>
      <w:r w:rsidRPr="00F876DB">
        <w:rPr>
          <w:color w:val="121212"/>
          <w:sz w:val="28"/>
          <w:szCs w:val="28"/>
        </w:rPr>
        <w:t xml:space="preserve"> помітні, необхідно їх відновити;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при виконанні розбірних робіт слід знати способи та особливості їх виконання;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для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ідйому і транспортування деталей і агрегатів масою більше 20кг використовують підйомно-транспортні засоби та надійні захватні пристосування.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Найбільш типовими з операцій під час розбирання є вивертання гвинтів, шпильок, болтів і 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>ідкручування гайок, видалення зламаного болта або шпильки, зняття зубчастих коліс, шківів, муфт і підшипників.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За принципом організації розбирання може бути: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стаціонарної;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рухомого (потоковий).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lastRenderedPageBreak/>
        <w:t xml:space="preserve">Стаціонарна розбирання автомобілів і агрегатів на складальні одиниці і деталі проводиться на одному робочому місці, зняті з автомобіля агрегати розбирають на стаціонарних стендах, застосовується цей вид розбирання на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ідприємствах з одиничних типом виробництва.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На спеціалізованих ремонтних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ідприємствах, робочі місця можуть бути організовані в потокову лінію. Поточний метод розбирання дозволя</w:t>
      </w:r>
      <w:proofErr w:type="gramStart"/>
      <w:r w:rsidRPr="00F876DB">
        <w:rPr>
          <w:color w:val="121212"/>
          <w:sz w:val="28"/>
          <w:szCs w:val="28"/>
        </w:rPr>
        <w:t>є:</w:t>
      </w:r>
      <w:proofErr w:type="gramEnd"/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зосередити однойменні операції </w:t>
      </w:r>
      <w:proofErr w:type="gramStart"/>
      <w:r w:rsidRPr="00F876DB">
        <w:rPr>
          <w:color w:val="121212"/>
          <w:sz w:val="28"/>
          <w:szCs w:val="28"/>
        </w:rPr>
        <w:t>на</w:t>
      </w:r>
      <w:proofErr w:type="gramEnd"/>
      <w:r w:rsidRPr="00F876DB">
        <w:rPr>
          <w:color w:val="121212"/>
          <w:sz w:val="28"/>
          <w:szCs w:val="28"/>
        </w:rPr>
        <w:t xml:space="preserve"> </w:t>
      </w:r>
      <w:proofErr w:type="gramStart"/>
      <w:r w:rsidRPr="00F876DB">
        <w:rPr>
          <w:color w:val="121212"/>
          <w:sz w:val="28"/>
          <w:szCs w:val="28"/>
        </w:rPr>
        <w:t>спец</w:t>
      </w:r>
      <w:proofErr w:type="gramEnd"/>
      <w:r w:rsidRPr="00F876DB">
        <w:rPr>
          <w:color w:val="121212"/>
          <w:sz w:val="28"/>
          <w:szCs w:val="28"/>
        </w:rPr>
        <w:t>іалізованих постах;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скоротити кількість однойменних інструментів на 30%;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збільшити інтенсивність використання технологічного оснащення на 50%;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збільшити продуктивність праці робітникі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 xml:space="preserve"> на 20%.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Тільки при </w:t>
      </w:r>
      <w:proofErr w:type="gramStart"/>
      <w:r w:rsidRPr="00F876DB">
        <w:rPr>
          <w:color w:val="121212"/>
          <w:sz w:val="28"/>
          <w:szCs w:val="28"/>
        </w:rPr>
        <w:t>поточному</w:t>
      </w:r>
      <w:proofErr w:type="gramEnd"/>
      <w:r w:rsidRPr="00F876DB">
        <w:rPr>
          <w:color w:val="121212"/>
          <w:sz w:val="28"/>
          <w:szCs w:val="28"/>
        </w:rPr>
        <w:t xml:space="preserve"> способі розбирання створюються умови для механізації робіт.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Застосування засобів механізації дозволяє знизити трудомісткість розбирання в 1,5 ... 2,0 рази і пошкоджуваність деталей на 70-80%, збільшити обсяг повторного використання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ідшипників на 15 ... 20% і стандартного кріплення до 25%, знизити витрати на ремонт автомобілів на 5…9 %.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У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ідсумку розбирання 60% всіх з'єднань автомобіля може бути механізована.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В основу механізації розбірних ділянок покладено ряд принципі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>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proofErr w:type="gramStart"/>
      <w:r w:rsidRPr="00F876DB">
        <w:rPr>
          <w:color w:val="121212"/>
          <w:sz w:val="28"/>
          <w:szCs w:val="28"/>
        </w:rPr>
        <w:t>· процес розбирання будується за поточному методу;</w:t>
      </w:r>
      <w:proofErr w:type="gramEnd"/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агрегати, складальні одиниці повинні бути попередньо </w:t>
      </w:r>
      <w:proofErr w:type="gramStart"/>
      <w:r w:rsidRPr="00F876DB">
        <w:rPr>
          <w:color w:val="121212"/>
          <w:sz w:val="28"/>
          <w:szCs w:val="28"/>
        </w:rPr>
        <w:t>очищен</w:t>
      </w:r>
      <w:proofErr w:type="gramEnd"/>
      <w:r w:rsidRPr="00F876DB">
        <w:rPr>
          <w:color w:val="121212"/>
          <w:sz w:val="28"/>
          <w:szCs w:val="28"/>
        </w:rPr>
        <w:t>і від масла і бруду;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переміщення агрегатів і складальних одиниць у процесі розбирання максимально механізуються.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Розбірні роботи складаються з основних і допоміжних елементів.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Основні елементи, які займають найбільшу питому вагу в розбірному процесі - це операції розбирання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ізьбових і пресових з'єднань.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Допоміжні елементи - це переміщення, установка і </w:t>
      </w:r>
      <w:proofErr w:type="gramStart"/>
      <w:r w:rsidRPr="00F876DB">
        <w:rPr>
          <w:color w:val="121212"/>
          <w:sz w:val="28"/>
          <w:szCs w:val="28"/>
        </w:rPr>
        <w:t>кр</w:t>
      </w:r>
      <w:proofErr w:type="gramEnd"/>
      <w:r w:rsidRPr="00F876DB">
        <w:rPr>
          <w:color w:val="121212"/>
          <w:sz w:val="28"/>
          <w:szCs w:val="28"/>
        </w:rPr>
        <w:t>іплення розбираємо виробів і агрегатів.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Переміщати автомобілі в процесі розбирання </w:t>
      </w:r>
      <w:proofErr w:type="gramStart"/>
      <w:r w:rsidRPr="00F876DB">
        <w:rPr>
          <w:color w:val="121212"/>
          <w:sz w:val="28"/>
          <w:szCs w:val="28"/>
        </w:rPr>
        <w:t>доц</w:t>
      </w:r>
      <w:proofErr w:type="gramEnd"/>
      <w:r w:rsidRPr="00F876DB">
        <w:rPr>
          <w:color w:val="121212"/>
          <w:sz w:val="28"/>
          <w:szCs w:val="28"/>
        </w:rPr>
        <w:t>ільно конвеєрами безперервної дії, агрегати до постів розборки можна переміщати підвісними і штовхаючими або вантажонесучими конвеєрами, а складальні одиниці та деталі - підлоговими транспортерами, рольгангами і сковзалом.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На розбірних ділянках і постах необхідно застосовувати збалансовані маніпулятори (замість кранів-укосин), пневматичні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ідйомники, кантувателі, возові транспортери, саморушні естакади і т.д., а також доцільно пристрій технологічних стель.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i/>
          <w:iCs/>
          <w:color w:val="121212"/>
          <w:sz w:val="28"/>
          <w:szCs w:val="28"/>
        </w:rPr>
        <w:t>Технологічний стеля</w:t>
      </w:r>
      <w:r w:rsidRPr="00F876DB">
        <w:rPr>
          <w:color w:val="121212"/>
          <w:sz w:val="28"/>
          <w:szCs w:val="28"/>
        </w:rPr>
        <w:t> – це просторова металева конструкція, яка може перекривати зону ділянки або робочого місця, або знаходиться над робочим місцем без його перекриття. На конструкції змонтовані механічні інструменти, пристосування і оснащення, що застосовуються при виконанні операцій, а також вантажопідйомні засоби, які призначені для транспортування агрегаті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 xml:space="preserve"> і </w:t>
      </w:r>
      <w:proofErr w:type="gramStart"/>
      <w:r w:rsidRPr="00F876DB">
        <w:rPr>
          <w:color w:val="121212"/>
          <w:sz w:val="28"/>
          <w:szCs w:val="28"/>
        </w:rPr>
        <w:t>деталей</w:t>
      </w:r>
      <w:proofErr w:type="gramEnd"/>
      <w:r w:rsidRPr="00F876DB">
        <w:rPr>
          <w:color w:val="121212"/>
          <w:sz w:val="28"/>
          <w:szCs w:val="28"/>
        </w:rPr>
        <w:t xml:space="preserve"> в робочу зону, зняття і видалення їх із робочої зони.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proofErr w:type="gramStart"/>
      <w:r w:rsidRPr="00F876DB">
        <w:rPr>
          <w:color w:val="121212"/>
          <w:sz w:val="28"/>
          <w:szCs w:val="28"/>
        </w:rPr>
        <w:lastRenderedPageBreak/>
        <w:t>До</w:t>
      </w:r>
      <w:proofErr w:type="gramEnd"/>
      <w:r w:rsidRPr="00F876DB">
        <w:rPr>
          <w:color w:val="121212"/>
          <w:sz w:val="28"/>
          <w:szCs w:val="28"/>
        </w:rPr>
        <w:t xml:space="preserve"> </w:t>
      </w:r>
      <w:proofErr w:type="gramStart"/>
      <w:r w:rsidRPr="00F876DB">
        <w:rPr>
          <w:color w:val="121212"/>
          <w:sz w:val="28"/>
          <w:szCs w:val="28"/>
        </w:rPr>
        <w:t>складу</w:t>
      </w:r>
      <w:proofErr w:type="gramEnd"/>
      <w:r w:rsidRPr="00F876DB">
        <w:rPr>
          <w:color w:val="121212"/>
          <w:sz w:val="28"/>
          <w:szCs w:val="28"/>
        </w:rPr>
        <w:t xml:space="preserve"> технологічного стелі для розбірних робіт входять: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несуча конструкція;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траверса;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одне або двохрейкові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ідвісний шлях з електричною талью або кран-балка;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ідвіски для механізованого інструменту;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освітлювальна арматура та і</w:t>
      </w:r>
      <w:proofErr w:type="gramStart"/>
      <w:r w:rsidRPr="00F876DB">
        <w:rPr>
          <w:color w:val="121212"/>
          <w:sz w:val="28"/>
          <w:szCs w:val="28"/>
        </w:rPr>
        <w:t>н</w:t>
      </w:r>
      <w:proofErr w:type="gramEnd"/>
      <w:r w:rsidRPr="00F876DB">
        <w:rPr>
          <w:color w:val="121212"/>
          <w:sz w:val="28"/>
          <w:szCs w:val="28"/>
        </w:rPr>
        <w:t>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Універсальним засобом механізації робочих місць розбирання є шарнірно-балансирні маніпулятори з ручним керуванням, вони представляють собою багатоланковий механізм з приводом в кожному суглобі, які дозволяють утримувати вантаж в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івновазі.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 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2. Основним завданням розбирання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ізьбових з'єднань є роз'єднання скріплених деталей розглядуваної складальної одиниці і самого з'єднання.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ізьбові з'єднання класифікуються на три групи: важка, середня, легка.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* Пояснити по табл. 4.1., с. 44, (2).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Для розбирання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ізьбових з'єднань застосовується інструмент ручний і механізований.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До </w:t>
      </w:r>
      <w:proofErr w:type="gramStart"/>
      <w:r w:rsidRPr="00F876DB">
        <w:rPr>
          <w:color w:val="121212"/>
          <w:sz w:val="28"/>
          <w:szCs w:val="28"/>
        </w:rPr>
        <w:t>ручному</w:t>
      </w:r>
      <w:proofErr w:type="gramEnd"/>
      <w:r w:rsidRPr="00F876DB">
        <w:rPr>
          <w:color w:val="121212"/>
          <w:sz w:val="28"/>
          <w:szCs w:val="28"/>
        </w:rPr>
        <w:t xml:space="preserve"> ставляться ключі наступних видів: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з відкритим зевом двосторонні;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кільцеві двосторонні колінчаті (накладні);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торцеві немеханізовані зі змінними головками;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</w:t>
      </w:r>
      <w:proofErr w:type="gramStart"/>
      <w:r w:rsidRPr="00F876DB">
        <w:rPr>
          <w:color w:val="121212"/>
          <w:sz w:val="28"/>
          <w:szCs w:val="28"/>
        </w:rPr>
        <w:t>спец</w:t>
      </w:r>
      <w:proofErr w:type="gramEnd"/>
      <w:r w:rsidRPr="00F876DB">
        <w:rPr>
          <w:color w:val="121212"/>
          <w:sz w:val="28"/>
          <w:szCs w:val="28"/>
        </w:rPr>
        <w:t>іальні.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* Пояснити по плакату і показати зразки на стенді.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Ключі гайкові з відкритим зевом двосторонні виготовляють із середньо вуглецевих сталей (ст. 40ХФА, 40Х, 45).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Накладні ключі охоплюють всі грані гайки, що надає їм більшу жорсткість і довговічність, ключами з 12-гранним зевом можна відвертати гайки при викручуванні на 30</w:t>
      </w:r>
      <w:r w:rsidRPr="00F876DB">
        <w:rPr>
          <w:color w:val="121212"/>
          <w:sz w:val="28"/>
          <w:szCs w:val="28"/>
          <w:vertAlign w:val="superscript"/>
        </w:rPr>
        <w:t>0</w:t>
      </w:r>
      <w:r w:rsidRPr="00F876DB">
        <w:rPr>
          <w:color w:val="121212"/>
          <w:sz w:val="28"/>
          <w:szCs w:val="28"/>
        </w:rPr>
        <w:t xml:space="preserve">, що дуже важливо </w:t>
      </w:r>
      <w:proofErr w:type="gramStart"/>
      <w:r w:rsidRPr="00F876DB">
        <w:rPr>
          <w:color w:val="121212"/>
          <w:sz w:val="28"/>
          <w:szCs w:val="28"/>
        </w:rPr>
        <w:t>при</w:t>
      </w:r>
      <w:proofErr w:type="gramEnd"/>
      <w:r w:rsidRPr="00F876DB">
        <w:rPr>
          <w:color w:val="121212"/>
          <w:sz w:val="28"/>
          <w:szCs w:val="28"/>
        </w:rPr>
        <w:t xml:space="preserve"> роботі у важкодоступних місцях.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Торчові ключі можна обертати, не переставляючи з грані на грань, тому скорочується час на відгвинчування гайки 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 xml:space="preserve"> порівнянні з відкритим.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proofErr w:type="gramStart"/>
      <w:r w:rsidRPr="00F876DB">
        <w:rPr>
          <w:color w:val="121212"/>
          <w:sz w:val="28"/>
          <w:szCs w:val="28"/>
        </w:rPr>
        <w:t>З</w:t>
      </w:r>
      <w:proofErr w:type="gramEnd"/>
      <w:r w:rsidRPr="00F876DB">
        <w:rPr>
          <w:color w:val="121212"/>
          <w:sz w:val="28"/>
          <w:szCs w:val="28"/>
        </w:rPr>
        <w:t>і спеціальних ключів застосовуються коловоротні ключі та ключі для круглих гайок, ці ключі раціональні для відкручуванні болтів і гайок невеликих розмірів, виробничої праці при цьому підвищується в 2 ... 5 разів.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Завдання скорочення витрат праці при розбиранні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ізьбових з'єднань в основному вирішується застосування механізованого інструменту (Гайко-, гвинто-і шпільковерти), при цьому продуктивність праці підвищується в 3,5 ... 4,5 рази, трудомісткість розбірних робіт скорочуються на 15…20%.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По використовуваному виду енергії Гайко - і гвинтоверти поділяють на електричні, пневматичні, гідравлічні, а за конструктивними ознаками - без фіксованого Мкр, з механізмом ударної дії, з самоостановом двигуна в </w:t>
      </w:r>
      <w:proofErr w:type="gramStart"/>
      <w:r w:rsidRPr="00F876DB">
        <w:rPr>
          <w:color w:val="121212"/>
          <w:sz w:val="28"/>
          <w:szCs w:val="28"/>
        </w:rPr>
        <w:t>к</w:t>
      </w:r>
      <w:proofErr w:type="gramEnd"/>
      <w:r w:rsidRPr="00F876DB">
        <w:rPr>
          <w:color w:val="121212"/>
          <w:sz w:val="28"/>
          <w:szCs w:val="28"/>
        </w:rPr>
        <w:t>інці затяжки.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lastRenderedPageBreak/>
        <w:t>* Пояснити по табл. 4.2., (2), с. 47.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На ремонтних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ідприємствах в основному застосовують одношіпдельние пневматичні і гідравлічні гайковерти статичного (при невеликому Мкр) і ударної дії (при значних Мкр).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Мкр відкручуванні гайок і болтів (Н * М) діаметром від 10 до 26 мм визначають за формулою: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noProof/>
          <w:color w:val="121212"/>
          <w:sz w:val="28"/>
          <w:szCs w:val="28"/>
        </w:rPr>
        <w:drawing>
          <wp:inline distT="0" distB="0" distL="0" distR="0" wp14:anchorId="2C13256C" wp14:editId="758F591A">
            <wp:extent cx="1118870" cy="259080"/>
            <wp:effectExtent l="0" t="0" r="5080" b="7620"/>
            <wp:docPr id="5" name="Рисунок 5" descr="https://konspekta.net/studopediainfo/baza10/1581121335687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info/baza10/1581121335687.file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DB">
        <w:rPr>
          <w:color w:val="121212"/>
          <w:sz w:val="28"/>
          <w:szCs w:val="28"/>
        </w:rPr>
        <w:t> ,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где: Ко – коефіцієнт, що враховує стан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ізьбового з'єднання (Ко=0,5…0,8),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 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dср – середній діаметр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ізьби гайки, мм.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 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Для викручування шпильок застосовуються ексцентрикові, клинові, цангові наконечники і </w:t>
      </w:r>
      <w:proofErr w:type="gramStart"/>
      <w:r w:rsidRPr="00F876DB">
        <w:rPr>
          <w:color w:val="121212"/>
          <w:sz w:val="28"/>
          <w:szCs w:val="28"/>
        </w:rPr>
        <w:t>спец</w:t>
      </w:r>
      <w:proofErr w:type="gramEnd"/>
      <w:r w:rsidRPr="00F876DB">
        <w:rPr>
          <w:color w:val="121212"/>
          <w:sz w:val="28"/>
          <w:szCs w:val="28"/>
        </w:rPr>
        <w:t>іальні ключі.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Для з'єднань зі значним Мкр (до 350 Н * м), використовують шпільковерти.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Значну частину трудомісткості розбірних робіт </w:t>
      </w:r>
      <w:proofErr w:type="gramStart"/>
      <w:r w:rsidRPr="00F876DB">
        <w:rPr>
          <w:color w:val="121212"/>
          <w:sz w:val="28"/>
          <w:szCs w:val="28"/>
        </w:rPr>
        <w:t>при</w:t>
      </w:r>
      <w:proofErr w:type="gramEnd"/>
      <w:r w:rsidRPr="00F876DB">
        <w:rPr>
          <w:color w:val="121212"/>
          <w:sz w:val="28"/>
          <w:szCs w:val="28"/>
        </w:rPr>
        <w:t xml:space="preserve"> ремонті машин займає розбирання складальної одиниці, деталі яких з'єднані натягом, дійсні зусилля, що мають місце при розпресування таких сполучень, значно перевершують теоретичні, особливо, якщо ці сполучення перебували в умовах корозії.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Зняття підшипників кочення, втулок, шківі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>, пальців, штифтів - з'єднання з гарантованим натягом, проводиться шляхом докладання осьового зусилля і використання теплових деформацій (нагрівання охоплює деталі).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Для програми осьового зусилля застосовують преси, знімачі, спеціальні пристосування, вони вибираються в залежності від необхідного зусилля і </w:t>
      </w:r>
      <w:proofErr w:type="gramStart"/>
      <w:r w:rsidRPr="00F876DB">
        <w:rPr>
          <w:color w:val="121212"/>
          <w:sz w:val="28"/>
          <w:szCs w:val="28"/>
        </w:rPr>
        <w:t>конкретного</w:t>
      </w:r>
      <w:proofErr w:type="gramEnd"/>
      <w:r w:rsidRPr="00F876DB">
        <w:rPr>
          <w:color w:val="121212"/>
          <w:sz w:val="28"/>
          <w:szCs w:val="28"/>
        </w:rPr>
        <w:t xml:space="preserve"> з'єднання.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* Пояснити по табл. 4.3., с. 48, (2).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Зусилля випрессовкі кілець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ідшипників визначається за формулою: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noProof/>
          <w:color w:val="121212"/>
          <w:sz w:val="28"/>
          <w:szCs w:val="28"/>
        </w:rPr>
        <w:drawing>
          <wp:inline distT="0" distB="0" distL="0" distR="0" wp14:anchorId="175A4344" wp14:editId="7CD35540">
            <wp:extent cx="3193415" cy="286385"/>
            <wp:effectExtent l="0" t="0" r="6985" b="0"/>
            <wp:docPr id="4" name="Рисунок 4" descr="https://konspekta.net/studopediainfo/baza10/1581121335687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info/baza10/1581121335687.files/image0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DB">
        <w:rPr>
          <w:color w:val="121212"/>
          <w:sz w:val="28"/>
          <w:szCs w:val="28"/>
        </w:rPr>
        <w:t> ,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де: Рп - зусилля пресування кілець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ідшипника, Н;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d - номінальний діаметр отвору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ідшипника, мм;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f</w:t>
      </w:r>
      <w:r w:rsidRPr="00F876DB">
        <w:rPr>
          <w:color w:val="121212"/>
          <w:sz w:val="28"/>
          <w:szCs w:val="28"/>
          <w:vertAlign w:val="subscript"/>
        </w:rPr>
        <w:t>1</w:t>
      </w:r>
      <w:r w:rsidRPr="00F876DB">
        <w:rPr>
          <w:color w:val="121212"/>
          <w:sz w:val="28"/>
          <w:szCs w:val="28"/>
        </w:rPr>
        <w:t> - коефіцієнт тертя в сполученні (f</w:t>
      </w:r>
      <w:r w:rsidRPr="00F876DB">
        <w:rPr>
          <w:color w:val="121212"/>
          <w:sz w:val="28"/>
          <w:szCs w:val="28"/>
          <w:vertAlign w:val="subscript"/>
        </w:rPr>
        <w:t>1</w:t>
      </w:r>
      <w:r w:rsidRPr="00F876DB">
        <w:rPr>
          <w:color w:val="121212"/>
          <w:sz w:val="28"/>
          <w:szCs w:val="28"/>
        </w:rPr>
        <w:t>=0,10-0,25);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Е - модуль пружності матеріалу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ідшипника (Е=22*10</w:t>
      </w:r>
      <w:r w:rsidRPr="00F876DB">
        <w:rPr>
          <w:rFonts w:ascii="Cambria Math" w:hAnsi="Cambria Math" w:cs="Cambria Math"/>
          <w:color w:val="121212"/>
          <w:sz w:val="28"/>
          <w:szCs w:val="28"/>
        </w:rPr>
        <w:t>⁴</w:t>
      </w:r>
      <w:r w:rsidRPr="00F876DB">
        <w:rPr>
          <w:color w:val="121212"/>
          <w:sz w:val="28"/>
          <w:szCs w:val="28"/>
        </w:rPr>
        <w:t>МПа);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В - ширина опорного кільця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ідшипника, мм.;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δ- розрахунковий натяг, </w:t>
      </w:r>
      <w:proofErr w:type="gramStart"/>
      <w:r w:rsidRPr="00F876DB">
        <w:rPr>
          <w:color w:val="121212"/>
          <w:sz w:val="28"/>
          <w:szCs w:val="28"/>
        </w:rPr>
        <w:t>мм</w:t>
      </w:r>
      <w:proofErr w:type="gramEnd"/>
      <w:r w:rsidRPr="00F876DB">
        <w:rPr>
          <w:color w:val="121212"/>
          <w:sz w:val="28"/>
          <w:szCs w:val="28"/>
        </w:rPr>
        <w:t>.;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Кп - коефіцієнт, що характеризує серію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ідшипника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(Кп=2,78 –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 легкої серії;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Кп=2,27 –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 середньої серії;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Кп=1,96 –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 важкої серії).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Зусилля випрессовкі шківі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>, шестерень і втулок визначається за формулою: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noProof/>
          <w:color w:val="121212"/>
          <w:sz w:val="28"/>
          <w:szCs w:val="28"/>
        </w:rPr>
        <w:drawing>
          <wp:inline distT="0" distB="0" distL="0" distR="0" wp14:anchorId="527A7860" wp14:editId="3F68EC18">
            <wp:extent cx="1828800" cy="286385"/>
            <wp:effectExtent l="0" t="0" r="0" b="0"/>
            <wp:docPr id="3" name="Рисунок 3" descr="https://konspekta.net/studopediainfo/baza10/1581121335687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info/baza10/1581121335687.files/image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DB">
        <w:rPr>
          <w:color w:val="121212"/>
          <w:sz w:val="28"/>
          <w:szCs w:val="28"/>
        </w:rPr>
        <w:t> ,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де: Рв - зусилля пресування шківі</w:t>
      </w:r>
      <w:proofErr w:type="gramStart"/>
      <w:r w:rsidRPr="00F876DB">
        <w:rPr>
          <w:color w:val="121212"/>
          <w:sz w:val="28"/>
          <w:szCs w:val="28"/>
        </w:rPr>
        <w:t>в</w:t>
      </w:r>
      <w:proofErr w:type="gramEnd"/>
      <w:r w:rsidRPr="00F876DB">
        <w:rPr>
          <w:color w:val="121212"/>
          <w:sz w:val="28"/>
          <w:szCs w:val="28"/>
        </w:rPr>
        <w:t>, шестерень, втулок, Н;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f</w:t>
      </w:r>
      <w:r w:rsidRPr="00F876DB">
        <w:rPr>
          <w:color w:val="121212"/>
          <w:sz w:val="28"/>
          <w:szCs w:val="28"/>
          <w:vertAlign w:val="subscript"/>
        </w:rPr>
        <w:t>2</w:t>
      </w:r>
      <w:r w:rsidRPr="00F876DB">
        <w:rPr>
          <w:color w:val="121212"/>
          <w:sz w:val="28"/>
          <w:szCs w:val="28"/>
        </w:rPr>
        <w:t> - коефіцієнт тертя в сполученні (f</w:t>
      </w:r>
      <w:r w:rsidRPr="00F876DB">
        <w:rPr>
          <w:color w:val="121212"/>
          <w:sz w:val="28"/>
          <w:szCs w:val="28"/>
          <w:vertAlign w:val="subscript"/>
        </w:rPr>
        <w:t>2</w:t>
      </w:r>
      <w:r w:rsidRPr="00F876DB">
        <w:rPr>
          <w:color w:val="121212"/>
          <w:sz w:val="28"/>
          <w:szCs w:val="28"/>
        </w:rPr>
        <w:t>=0,15…0,25);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lastRenderedPageBreak/>
        <w:t>dcp - середній діаметр контактуючих поверхонь, мм</w:t>
      </w:r>
      <w:proofErr w:type="gramStart"/>
      <w:r w:rsidRPr="00F876DB">
        <w:rPr>
          <w:color w:val="121212"/>
          <w:sz w:val="28"/>
          <w:szCs w:val="28"/>
        </w:rPr>
        <w:t>.;</w:t>
      </w:r>
      <w:proofErr w:type="gramEnd"/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L - довжина запресованої частини деталі, мм</w:t>
      </w:r>
      <w:proofErr w:type="gramStart"/>
      <w:r w:rsidRPr="00F876DB">
        <w:rPr>
          <w:color w:val="121212"/>
          <w:sz w:val="28"/>
          <w:szCs w:val="28"/>
        </w:rPr>
        <w:t>.;</w:t>
      </w:r>
      <w:proofErr w:type="gramEnd"/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δcp - напруга стиснення </w:t>
      </w:r>
      <w:proofErr w:type="gramStart"/>
      <w:r w:rsidRPr="00F876DB">
        <w:rPr>
          <w:color w:val="121212"/>
          <w:sz w:val="28"/>
          <w:szCs w:val="28"/>
        </w:rPr>
        <w:t>на</w:t>
      </w:r>
      <w:proofErr w:type="gramEnd"/>
      <w:r w:rsidRPr="00F876DB">
        <w:rPr>
          <w:color w:val="121212"/>
          <w:sz w:val="28"/>
          <w:szCs w:val="28"/>
        </w:rPr>
        <w:t xml:space="preserve"> </w:t>
      </w:r>
      <w:proofErr w:type="gramStart"/>
      <w:r w:rsidRPr="00F876DB">
        <w:rPr>
          <w:color w:val="121212"/>
          <w:sz w:val="28"/>
          <w:szCs w:val="28"/>
        </w:rPr>
        <w:t>контакту</w:t>
      </w:r>
      <w:proofErr w:type="gramEnd"/>
      <w:r w:rsidRPr="00F876DB">
        <w:rPr>
          <w:color w:val="121212"/>
          <w:sz w:val="28"/>
          <w:szCs w:val="28"/>
        </w:rPr>
        <w:t>є поверхні, МПа.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 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Розбирання складальних одиниць з'єднаних з натягом можна здійснювати наступними способами: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механічним;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· </w:t>
      </w:r>
      <w:proofErr w:type="gramStart"/>
      <w:r w:rsidRPr="00F876DB">
        <w:rPr>
          <w:color w:val="121212"/>
          <w:sz w:val="28"/>
          <w:szCs w:val="28"/>
        </w:rPr>
        <w:t>г</w:t>
      </w:r>
      <w:proofErr w:type="gramEnd"/>
      <w:r w:rsidRPr="00F876DB">
        <w:rPr>
          <w:color w:val="121212"/>
          <w:sz w:val="28"/>
          <w:szCs w:val="28"/>
        </w:rPr>
        <w:t>ідравлічним;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термічним;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· комбінованим.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Кожен з перерахованих вище способів може бути здійснений на виробництві </w:t>
      </w:r>
      <w:proofErr w:type="gramStart"/>
      <w:r w:rsidRPr="00F876DB">
        <w:rPr>
          <w:color w:val="121212"/>
          <w:sz w:val="28"/>
          <w:szCs w:val="28"/>
        </w:rPr>
        <w:t>р</w:t>
      </w:r>
      <w:proofErr w:type="gramEnd"/>
      <w:r w:rsidRPr="00F876DB">
        <w:rPr>
          <w:color w:val="121212"/>
          <w:sz w:val="28"/>
          <w:szCs w:val="28"/>
        </w:rPr>
        <w:t>ізними методами (дати пояснення по табл.4.2.(2)).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Основне обладнання для розбирання пресових з'єднань - це знімачі, преси, стенди і пристосування (дати характеристику та класифікацію знімачів табл. 4.3.(2)).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Деталі кільцевої форми (втулки, внутрішні кільця роликових </w:t>
      </w: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ідшипників кочення, шківи) можна знімати за допомогою установки для нагрівання (індукційно-теплова розбирання), температура нагріву деталі 250…300 </w:t>
      </w:r>
      <w:r w:rsidRPr="00F876DB">
        <w:rPr>
          <w:color w:val="121212"/>
          <w:sz w:val="28"/>
          <w:szCs w:val="28"/>
          <w:vertAlign w:val="superscript"/>
        </w:rPr>
        <w:t>0</w:t>
      </w:r>
      <w:r w:rsidRPr="00F876DB">
        <w:rPr>
          <w:color w:val="121212"/>
          <w:sz w:val="28"/>
          <w:szCs w:val="28"/>
        </w:rPr>
        <w:t>С (для підшипників кочення не більше 100 </w:t>
      </w:r>
      <w:r w:rsidRPr="00F876DB">
        <w:rPr>
          <w:color w:val="121212"/>
          <w:sz w:val="28"/>
          <w:szCs w:val="28"/>
          <w:vertAlign w:val="superscript"/>
        </w:rPr>
        <w:t>0</w:t>
      </w:r>
      <w:r w:rsidRPr="00F876DB">
        <w:rPr>
          <w:color w:val="121212"/>
          <w:sz w:val="28"/>
          <w:szCs w:val="28"/>
        </w:rPr>
        <w:t>С), тривалість нагрівання 25…30 с.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proofErr w:type="gramStart"/>
      <w:r w:rsidRPr="00F876DB">
        <w:rPr>
          <w:color w:val="121212"/>
          <w:sz w:val="28"/>
          <w:szCs w:val="28"/>
        </w:rPr>
        <w:t>П</w:t>
      </w:r>
      <w:proofErr w:type="gramEnd"/>
      <w:r w:rsidRPr="00F876DB">
        <w:rPr>
          <w:color w:val="121212"/>
          <w:sz w:val="28"/>
          <w:szCs w:val="28"/>
        </w:rPr>
        <w:t>ісля нагрівання кільця пристосування повертається навколо осі в одну й іншу сторону, а після ослаблення посадки його знімають разом з пристосуванням. Необхідну температуру нагрівання сталевих охоплюють деталей визначають за формулою: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noProof/>
          <w:color w:val="121212"/>
          <w:sz w:val="28"/>
          <w:szCs w:val="28"/>
        </w:rPr>
        <w:drawing>
          <wp:inline distT="0" distB="0" distL="0" distR="0" wp14:anchorId="373619CE" wp14:editId="3188B972">
            <wp:extent cx="1746885" cy="273050"/>
            <wp:effectExtent l="0" t="0" r="0" b="0"/>
            <wp:docPr id="1" name="Рисунок 1" descr="https://konspekta.net/studopediainfo/baza10/1581121335687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info/baza10/1581121335687.files/image0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DB">
        <w:rPr>
          <w:color w:val="121212"/>
          <w:sz w:val="28"/>
          <w:szCs w:val="28"/>
        </w:rPr>
        <w:t> ,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 xml:space="preserve">де: </w:t>
      </w:r>
      <w:proofErr w:type="gramStart"/>
      <w:r w:rsidRPr="00F876DB">
        <w:rPr>
          <w:color w:val="121212"/>
          <w:sz w:val="28"/>
          <w:szCs w:val="28"/>
        </w:rPr>
        <w:t>t</w:t>
      </w:r>
      <w:proofErr w:type="gramEnd"/>
      <w:r w:rsidRPr="00F876DB">
        <w:rPr>
          <w:color w:val="121212"/>
          <w:sz w:val="28"/>
          <w:szCs w:val="28"/>
        </w:rPr>
        <w:t>н - температура нагріву охоплює деталі, </w:t>
      </w:r>
      <w:r w:rsidRPr="00F876DB">
        <w:rPr>
          <w:color w:val="121212"/>
          <w:sz w:val="28"/>
          <w:szCs w:val="28"/>
          <w:vertAlign w:val="superscript"/>
        </w:rPr>
        <w:t>0</w:t>
      </w:r>
      <w:r w:rsidRPr="00F876DB">
        <w:rPr>
          <w:color w:val="121212"/>
          <w:sz w:val="28"/>
          <w:szCs w:val="28"/>
        </w:rPr>
        <w:t>С;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∆ - необхі</w:t>
      </w:r>
      <w:proofErr w:type="gramStart"/>
      <w:r w:rsidRPr="00F876DB">
        <w:rPr>
          <w:color w:val="121212"/>
          <w:sz w:val="28"/>
          <w:szCs w:val="28"/>
        </w:rPr>
        <w:t>дне</w:t>
      </w:r>
      <w:proofErr w:type="gramEnd"/>
      <w:r w:rsidRPr="00F876DB">
        <w:rPr>
          <w:color w:val="121212"/>
          <w:sz w:val="28"/>
          <w:szCs w:val="28"/>
        </w:rPr>
        <w:t xml:space="preserve"> збільшення діаметрів отвору, мкм;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d - діаметр отвору, мм;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proofErr w:type="gramStart"/>
      <w:r w:rsidRPr="00F876DB">
        <w:rPr>
          <w:color w:val="121212"/>
          <w:sz w:val="28"/>
          <w:szCs w:val="28"/>
        </w:rPr>
        <w:t>t</w:t>
      </w:r>
      <w:proofErr w:type="gramEnd"/>
      <w:r w:rsidRPr="00F876DB">
        <w:rPr>
          <w:color w:val="121212"/>
          <w:sz w:val="28"/>
          <w:szCs w:val="28"/>
        </w:rPr>
        <w:t>п - температура вала з якого демонтується кільце, </w:t>
      </w:r>
      <w:r w:rsidRPr="00F876DB">
        <w:rPr>
          <w:color w:val="121212"/>
          <w:sz w:val="28"/>
          <w:szCs w:val="28"/>
          <w:vertAlign w:val="superscript"/>
        </w:rPr>
        <w:t>0</w:t>
      </w:r>
      <w:r w:rsidRPr="00F876DB">
        <w:rPr>
          <w:color w:val="121212"/>
          <w:sz w:val="28"/>
          <w:szCs w:val="28"/>
        </w:rPr>
        <w:t>С;</w:t>
      </w:r>
    </w:p>
    <w:p w:rsidR="00F876DB" w:rsidRPr="00F876DB" w:rsidRDefault="00F876DB" w:rsidP="00F876DB">
      <w:pPr>
        <w:pStyle w:val="a7"/>
        <w:shd w:val="clear" w:color="auto" w:fill="FFFFFF"/>
        <w:spacing w:before="0" w:beforeAutospacing="0" w:after="0" w:afterAutospacing="0"/>
        <w:ind w:left="567" w:hanging="567"/>
        <w:rPr>
          <w:color w:val="121212"/>
          <w:sz w:val="28"/>
          <w:szCs w:val="28"/>
        </w:rPr>
      </w:pPr>
      <w:r w:rsidRPr="00F876DB">
        <w:rPr>
          <w:color w:val="121212"/>
          <w:sz w:val="28"/>
          <w:szCs w:val="28"/>
        </w:rPr>
        <w:t>ε- коефіцієнт, що враховує втрати тепла при нагріванні внаслідок тепловідведення в зв'язану деталь (ε=1,2…1,6).</w:t>
      </w:r>
    </w:p>
    <w:p w:rsidR="000F18BC" w:rsidRDefault="000F18B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26240" w:rsidRP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A95650" w:rsidRPr="00A95650" w:rsidRDefault="00A9565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  <w:sectPr w:rsidR="00A26240" w:rsidSect="00F6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C3" w:rsidRPr="00000372" w:rsidRDefault="003343C3" w:rsidP="003343C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00372">
        <w:rPr>
          <w:rFonts w:ascii="Times New Roman" w:hAnsi="Times New Roman"/>
          <w:b/>
          <w:sz w:val="40"/>
          <w:szCs w:val="40"/>
          <w:lang w:val="uk-UA"/>
        </w:rPr>
        <w:lastRenderedPageBreak/>
        <w:t>Інструкційно-технологічна карта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402"/>
        <w:gridCol w:w="1903"/>
        <w:gridCol w:w="879"/>
        <w:gridCol w:w="1980"/>
        <w:gridCol w:w="2119"/>
        <w:gridCol w:w="2612"/>
        <w:gridCol w:w="5163"/>
        <w:gridCol w:w="159"/>
      </w:tblGrid>
      <w:tr w:rsidR="003343C3" w:rsidTr="00902D2F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3343C3" w:rsidRPr="00C3315B" w:rsidRDefault="003343C3" w:rsidP="00902D2F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3343C3" w:rsidRPr="0063500B" w:rsidTr="00902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3343C3" w:rsidRPr="00C3315B" w:rsidRDefault="003343C3" w:rsidP="00902D2F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1874" w:type="dxa"/>
            <w:gridSpan w:val="4"/>
          </w:tcPr>
          <w:p w:rsidR="003343C3" w:rsidRPr="00C3315B" w:rsidRDefault="003343C3" w:rsidP="00902D2F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7231 Слюсар з ремонту колісних транспортних засобів</w:t>
            </w:r>
          </w:p>
        </w:tc>
      </w:tr>
      <w:tr w:rsidR="003343C3" w:rsidRPr="0020497F" w:rsidTr="00902D2F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3343C3" w:rsidRPr="006A6B74" w:rsidRDefault="006909F6" w:rsidP="00902D2F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  <w:lang w:val="uk-UA" w:eastAsia="uk-UA"/>
              </w:rPr>
              <w:t>Тема №2:Самостійне виконання робіт слюсаря з ремонту колісних транспортних засобів 3-го розряду</w:t>
            </w:r>
          </w:p>
        </w:tc>
      </w:tr>
      <w:tr w:rsidR="003343C3" w:rsidTr="00902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3343C3" w:rsidRPr="00C3315B" w:rsidRDefault="003343C3" w:rsidP="00902D2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1874" w:type="dxa"/>
            <w:gridSpan w:val="4"/>
          </w:tcPr>
          <w:p w:rsidR="003343C3" w:rsidRPr="00000372" w:rsidRDefault="003343C3" w:rsidP="00902D2F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Слюсар з ремонту колісних транспортних засобів 3 –го розряду </w:t>
            </w:r>
          </w:p>
        </w:tc>
      </w:tr>
      <w:tr w:rsidR="003343C3" w:rsidTr="00902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3343C3" w:rsidRPr="00C3315B" w:rsidRDefault="003343C3" w:rsidP="00902D2F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1874" w:type="dxa"/>
            <w:gridSpan w:val="4"/>
          </w:tcPr>
          <w:p w:rsidR="003343C3" w:rsidRPr="00000372" w:rsidRDefault="00436219" w:rsidP="00902D2F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6</w:t>
            </w:r>
            <w:bookmarkStart w:id="0" w:name="_GoBack"/>
            <w:bookmarkEnd w:id="0"/>
            <w:r w:rsidR="003343C3"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</w:p>
        </w:tc>
      </w:tr>
      <w:tr w:rsidR="003343C3" w:rsidTr="00902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3343C3" w:rsidRPr="00C3315B" w:rsidRDefault="003343C3" w:rsidP="00902D2F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1874" w:type="dxa"/>
            <w:gridSpan w:val="4"/>
          </w:tcPr>
          <w:p w:rsidR="003343C3" w:rsidRPr="006909F6" w:rsidRDefault="006909F6" w:rsidP="00902D2F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6909F6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Виконання робіт з розбирання автомобілів</w:t>
            </w:r>
          </w:p>
        </w:tc>
      </w:tr>
      <w:tr w:rsidR="003343C3" w:rsidTr="00902D2F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3343C3" w:rsidRPr="00C3315B" w:rsidRDefault="003343C3" w:rsidP="00902D2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1874" w:type="dxa"/>
            <w:gridSpan w:val="4"/>
          </w:tcPr>
          <w:p w:rsidR="003343C3" w:rsidRDefault="003343C3" w:rsidP="00902D2F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Навчальна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формування умінь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застосовувати одержані знання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gramEnd"/>
          </w:p>
          <w:p w:rsidR="003343C3" w:rsidRPr="00BD36FA" w:rsidRDefault="003343C3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розвитку навчально-виробничих задач  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0269A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иконання робіт зі складання та розбирання автомобілі</w:t>
            </w:r>
            <w:proofErr w:type="gramStart"/>
            <w:r w:rsidRPr="000269A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</w:p>
          <w:p w:rsidR="003343C3" w:rsidRPr="00596C7A" w:rsidRDefault="003343C3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Розвиваюча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розвити творчий </w:t>
            </w:r>
            <w:proofErr w:type="gram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ідхід до роботи як засіб виховання</w:t>
            </w:r>
          </w:p>
          <w:p w:rsidR="003343C3" w:rsidRPr="00596C7A" w:rsidRDefault="003343C3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ійкого професійного інтересу 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0269A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иконання робіт зі складання та розбирання автомобілів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343C3" w:rsidRPr="00596C7A" w:rsidRDefault="003343C3" w:rsidP="00902D2F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Виховна: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sz w:val="28"/>
                <w:szCs w:val="28"/>
              </w:rPr>
              <w:t xml:space="preserve">виховати творче відношення до праці і навчання 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Pr="000269A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иконання робіт зі складання та розбирання автомобілі</w:t>
            </w:r>
            <w:proofErr w:type="gramStart"/>
            <w:r w:rsidRPr="000269A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</w:p>
          <w:p w:rsidR="006909F6" w:rsidRDefault="006909F6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909F6" w:rsidRDefault="006909F6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909F6" w:rsidRDefault="006909F6" w:rsidP="00902D2F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6909F6" w:rsidRPr="00E1696D" w:rsidRDefault="006909F6" w:rsidP="00902D2F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</w:tc>
      </w:tr>
      <w:tr w:rsidR="003343C3" w:rsidTr="00902D2F">
        <w:tc>
          <w:tcPr>
            <w:tcW w:w="15217" w:type="dxa"/>
            <w:gridSpan w:val="8"/>
          </w:tcPr>
          <w:p w:rsidR="003343C3" w:rsidRDefault="003343C3" w:rsidP="00902D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ОСНОВНА ЧАСТИНА</w:t>
            </w:r>
          </w:p>
        </w:tc>
      </w:tr>
      <w:tr w:rsidR="003343C3" w:rsidTr="00902D2F">
        <w:tc>
          <w:tcPr>
            <w:tcW w:w="5164" w:type="dxa"/>
            <w:gridSpan w:val="4"/>
          </w:tcPr>
          <w:p w:rsidR="003343C3" w:rsidRDefault="003343C3" w:rsidP="00902D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3343C3" w:rsidRDefault="003343C3" w:rsidP="00902D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12" w:type="dxa"/>
            <w:vMerge w:val="restart"/>
          </w:tcPr>
          <w:p w:rsidR="003343C3" w:rsidRDefault="003343C3" w:rsidP="00902D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22" w:type="dxa"/>
            <w:gridSpan w:val="2"/>
            <w:vMerge w:val="restart"/>
          </w:tcPr>
          <w:p w:rsidR="003343C3" w:rsidRDefault="003343C3" w:rsidP="00902D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3343C3" w:rsidTr="00902D2F">
        <w:tc>
          <w:tcPr>
            <w:tcW w:w="2305" w:type="dxa"/>
            <w:gridSpan w:val="2"/>
          </w:tcPr>
          <w:p w:rsidR="003343C3" w:rsidRDefault="003343C3" w:rsidP="00902D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859" w:type="dxa"/>
            <w:gridSpan w:val="2"/>
          </w:tcPr>
          <w:p w:rsidR="003343C3" w:rsidRDefault="003343C3" w:rsidP="00902D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3343C3" w:rsidRDefault="003343C3" w:rsidP="00902D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vMerge/>
          </w:tcPr>
          <w:p w:rsidR="003343C3" w:rsidRDefault="003343C3" w:rsidP="00902D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gridSpan w:val="2"/>
            <w:vMerge/>
          </w:tcPr>
          <w:p w:rsidR="003343C3" w:rsidRDefault="003343C3" w:rsidP="00902D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3C3" w:rsidRPr="001F207C" w:rsidTr="00902D2F">
        <w:tc>
          <w:tcPr>
            <w:tcW w:w="2305" w:type="dxa"/>
            <w:gridSpan w:val="2"/>
          </w:tcPr>
          <w:p w:rsidR="003343C3" w:rsidRPr="001F207C" w:rsidRDefault="003343C3" w:rsidP="003343C3">
            <w:pPr>
              <w:numPr>
                <w:ilvl w:val="0"/>
                <w:numId w:val="1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3343C3" w:rsidRPr="001F207C" w:rsidRDefault="003343C3" w:rsidP="00902D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1.Принести все необхідне для роботи, приготувати інструмент, матеріали.</w:t>
            </w:r>
          </w:p>
          <w:p w:rsidR="003343C3" w:rsidRPr="001F207C" w:rsidRDefault="003343C3" w:rsidP="00902D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2.Одягнути спецодяг </w:t>
            </w:r>
          </w:p>
          <w:p w:rsidR="003343C3" w:rsidRPr="001F207C" w:rsidRDefault="003343C3" w:rsidP="00902D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Гайкові ключі, насадки з тріскачкою, викрутка</w:t>
            </w:r>
          </w:p>
        </w:tc>
        <w:tc>
          <w:tcPr>
            <w:tcW w:w="2612" w:type="dxa"/>
          </w:tcPr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 розкласти по праву руку</w:t>
            </w:r>
          </w:p>
        </w:tc>
        <w:tc>
          <w:tcPr>
            <w:tcW w:w="5322" w:type="dxa"/>
            <w:gridSpan w:val="2"/>
          </w:tcPr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3DE4F" wp14:editId="5C9452A4">
                  <wp:extent cx="2476500" cy="1717933"/>
                  <wp:effectExtent l="0" t="0" r="0" b="0"/>
                  <wp:docPr id="8" name="Рисунок 8" descr="ÐÐ°Ð±ÑÑ ÐÐ¾Ð»Ð¾Ð²Ð¾Ðº Ð¢Ð¾ÑÑ., ÐÐ¸ÐºÑÑÑÐº. ÐÐ°ÑÐ°Ð´Ð¾Ðº STHOR Ð´Ð¾ ÐÐ²Ð°Ð´Ñ. 1/2&quot;, ÐÐ°Ð¹ÐºÐ¾Ð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Ð°Ð±ÑÑ ÐÐ¾Ð»Ð¾Ð²Ð¾Ðº Ð¢Ð¾ÑÑ., ÐÐ¸ÐºÑÑÑÐº. ÐÐ°ÑÐ°Ð´Ð¾Ðº STHOR Ð´Ð¾ ÐÐ²Ð°Ð´Ñ. 1/2&quot;, ÐÐ°Ð¹ÐºÐ¾Ð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33" cy="171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34488" wp14:editId="66D8DEE9">
                  <wp:extent cx="2095500" cy="2095500"/>
                  <wp:effectExtent l="0" t="0" r="0" b="0"/>
                  <wp:docPr id="20" name="Рисунок 20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43C3" w:rsidRPr="004E672B" w:rsidTr="00902D2F">
        <w:tc>
          <w:tcPr>
            <w:tcW w:w="2305" w:type="dxa"/>
            <w:gridSpan w:val="2"/>
          </w:tcPr>
          <w:p w:rsidR="003343C3" w:rsidRPr="001F207C" w:rsidRDefault="003343C3" w:rsidP="00902D2F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2.Підготовчий етап: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редуктора з автомобіля 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3343C3" w:rsidRDefault="003343C3" w:rsidP="00902D2F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F20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редуктора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Ключ 13мм, 19мм, 10мм, тріскачка, подовжувач, насадка накіднана 13мм, 22мм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081829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shd w:val="clear" w:color="auto" w:fill="auto"/>
          </w:tcPr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</w:pPr>
            <w:r w:rsidRPr="005172B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</w:t>
            </w: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ірвати болти кріплення коліс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gramStart"/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ідняти за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</w:t>
            </w: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ню частину авто за допомогую домкрату та підставок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3. відкрутити бовти кріплення коліс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4. Зняти колеса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5. Викрутити напрямні болти та за допомогою них зняти гальмівні барабани с коліс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6. Відкрутити зливний отвір та злити мастило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7. Відкрутити болти кріплення напіввісей та витягнути їх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8. Від'єднайте задній кінець карданної передачі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r w:rsidRPr="0066623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Відверніть вісім болтів кріплення редуктора до балки заднього моста і зніміть редуктор</w:t>
            </w:r>
          </w:p>
          <w:p w:rsidR="003343C3" w:rsidRPr="00922D9E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10. </w:t>
            </w:r>
            <w:r w:rsidRPr="0066623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Обережно зніміть фланця редуктора і зніміть прокладку</w:t>
            </w:r>
          </w:p>
        </w:tc>
        <w:tc>
          <w:tcPr>
            <w:tcW w:w="5322" w:type="dxa"/>
            <w:gridSpan w:val="2"/>
          </w:tcPr>
          <w:p w:rsidR="003343C3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925D3" wp14:editId="20BCE3F3">
                  <wp:extent cx="2952750" cy="2095500"/>
                  <wp:effectExtent l="0" t="0" r="0" b="0"/>
                  <wp:docPr id="10" name="Рисунок 10" descr="Ð±Ð¾Ð»ÑÑ ÐºÑÐµÐ¿Ð»ÐµÐ½Ð¸Ñ ÑÐµÐ´ÑÐºÑÐ¾ÑÐ° Ðº Ð±Ð°Ð»ÐºÐµ Ð·Ð°Ð´Ð½ÐµÐ³Ð¾ Ð¼Ð¾Ñ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±Ð¾Ð»ÑÑ ÐºÑÐµÐ¿Ð»ÐµÐ½Ð¸Ñ ÑÐµÐ´ÑÐºÑÐ¾ÑÐ° Ðº Ð±Ð°Ð»ÐºÐµ Ð·Ð°Ð´Ð½ÐµÐ³Ð¾ Ð¼Ð¾Ñ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1F207C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43C3" w:rsidRPr="00EA4A17" w:rsidTr="00902D2F">
        <w:tc>
          <w:tcPr>
            <w:tcW w:w="2305" w:type="dxa"/>
            <w:gridSpan w:val="2"/>
          </w:tcPr>
          <w:p w:rsidR="003343C3" w:rsidRDefault="003343C3" w:rsidP="00902D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E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3.Розбрання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агрегата</w:t>
            </w:r>
          </w:p>
        </w:tc>
        <w:tc>
          <w:tcPr>
            <w:tcW w:w="2859" w:type="dxa"/>
            <w:gridSpan w:val="2"/>
          </w:tcPr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Розбирання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редуктора</w:t>
            </w: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756E8B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Ключ 10мм, 14мм, 17мм, керно, молоток, знімач, бородок.</w:t>
            </w: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Default="003343C3" w:rsidP="00902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43C3" w:rsidRPr="002D6693" w:rsidRDefault="003343C3" w:rsidP="00902D2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shd w:val="clear" w:color="auto" w:fill="auto"/>
          </w:tcPr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Встановивши редуктор на верстаті, ключем «на 10» відвертаємо два болти 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кріплення стопорних пластин гайок підшипників диференціала і знімаємо пластини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Керн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ом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наносимо мітки на ліжку і відповідної кришці підшипника, щоб при складанні встановити кришки на свої місця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</w:t>
            </w:r>
            <w:r w:rsidRPr="009A552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Ключем «на 14» відвертаємо болти кріплення кришок підшипників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4. </w:t>
            </w:r>
            <w:r w:rsidRPr="00EA4A1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Виймаємо з корпусу диференціала зовнішні кільця підшипників і регулювальні гайки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FD78A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5. Знімачем спресовувати внутрішні кільця конічних підшипників</w:t>
            </w:r>
          </w:p>
          <w:p w:rsidR="003343C3" w:rsidRPr="00FD78A1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FD78A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6. Ключем «на 17» відвертаємо вісім болтів кріплення веденої шестерні до корпусу диференціала і знімаємо її.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41D4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7. Бородком вибиваємо вісь сателітів.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8. </w:t>
            </w:r>
            <w:r w:rsidRPr="003343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Провертає шестерні піввісь і виймаємо </w:t>
            </w:r>
            <w:r w:rsidRPr="003343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шестерні-сателіти.</w:t>
            </w:r>
          </w:p>
          <w:p w:rsidR="003343C3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r w:rsidRPr="0077378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Виймаємо шестерні піввісь з регулювальними шайбами, позначивши їх положення.</w:t>
            </w:r>
          </w:p>
          <w:p w:rsidR="003343C3" w:rsidRPr="00773781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7378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10. Виймаємо з картера провідну шестерню і деформовану розпірну втулку</w:t>
            </w:r>
          </w:p>
          <w:p w:rsidR="003343C3" w:rsidRPr="00773781" w:rsidRDefault="003343C3" w:rsidP="00902D2F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77378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11. Вибивачем з м'якого металу збиваємо внутрішнє кільце конічного підшипника з валу ведучої шестірні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  <w:tc>
          <w:tcPr>
            <w:tcW w:w="5322" w:type="dxa"/>
            <w:gridSpan w:val="2"/>
          </w:tcPr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Pr="000158A0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52917E" wp14:editId="10A448FF">
                  <wp:extent cx="3124200" cy="2093214"/>
                  <wp:effectExtent l="0" t="0" r="0" b="2540"/>
                  <wp:docPr id="6" name="Рисунок 6" descr="http://www.autoprospect.ru/vaz/2106-zhiguli/images/13-7_5_2_5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toprospect.ru/vaz/2106-zhiguli/images/13-7_5_2_5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9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11749" wp14:editId="1E370B49">
                  <wp:extent cx="3146778" cy="2124075"/>
                  <wp:effectExtent l="0" t="0" r="0" b="0"/>
                  <wp:docPr id="7" name="Рисунок 7" descr="http://www.autoprospect.ru/vaz/2106-zhiguli/images/13-7_5_2_8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prospect.ru/vaz/2106-zhiguli/images/13-7_5_2_8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78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43C3" w:rsidRDefault="003343C3" w:rsidP="00902D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26240" w:rsidRDefault="00A2624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36D5B" w:rsidRDefault="00636D5B" w:rsidP="00636D5B">
      <w:pPr>
        <w:rPr>
          <w:rFonts w:ascii="Times New Roman" w:hAnsi="Times New Roman"/>
          <w:sz w:val="28"/>
          <w:szCs w:val="28"/>
          <w:lang w:val="uk-UA"/>
        </w:rPr>
        <w:sectPr w:rsidR="00636D5B" w:rsidSect="00636D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E3449" w:rsidRDefault="00436219" w:rsidP="000B72BB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8" w:history="1">
        <w:r w:rsidR="000B72BB" w:rsidRPr="00C176C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https://www.youtube.com/watch?v=BXaPIcPjjao</w:t>
        </w:r>
      </w:hyperlink>
    </w:p>
    <w:p w:rsidR="000B72BB" w:rsidRDefault="00436219" w:rsidP="000B72BB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9" w:history="1">
        <w:r w:rsidR="000B72BB" w:rsidRPr="00C176C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https://www.youtube.com/watch?v=zkzrkt02b7k</w:t>
        </w:r>
      </w:hyperlink>
    </w:p>
    <w:p w:rsidR="000B72BB" w:rsidRPr="000B72BB" w:rsidRDefault="000B72BB" w:rsidP="000B72BB">
      <w:pPr>
        <w:pStyle w:val="a3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90FB7" w:rsidRPr="000E3449" w:rsidRDefault="00890FB7" w:rsidP="00A95650">
      <w:pPr>
        <w:pStyle w:val="a3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Закріплення нового </w:t>
      </w:r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іалу </w:t>
      </w:r>
      <w:r w:rsidR="0096222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6316EF" w:rsidRDefault="006316EF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FEE" w:rsidRDefault="00CC2FEE" w:rsidP="002232AB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E92F04">
        <w:rPr>
          <w:rFonts w:ascii="Times New Roman" w:eastAsia="Times New Roman" w:hAnsi="Times New Roman"/>
          <w:sz w:val="28"/>
          <w:szCs w:val="28"/>
          <w:lang w:val="uk-UA" w:eastAsia="ru-RU"/>
        </w:rPr>
        <w:t>кі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міри безпеки праці потрібно дотримуватись під час виконання робіт?</w:t>
      </w:r>
    </w:p>
    <w:p w:rsidR="009E3F73" w:rsidRPr="00CC2FEE" w:rsidRDefault="009E3F73" w:rsidP="00CC2FE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FEE" w:rsidRDefault="00830903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інструментом та пристосуваннями ви користуєтесь для розбирання агрегатів автомобіля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BD431D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процес розбирання заднього мосту</w:t>
      </w:r>
    </w:p>
    <w:p w:rsidR="00293301" w:rsidRPr="00293301" w:rsidRDefault="00293301" w:rsidP="0029330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BD431D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процес зняття редуктора з автомобіля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Pr="00E92F04" w:rsidRDefault="00BD431D" w:rsidP="00E92F0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процес розбирання редуктора</w:t>
      </w:r>
    </w:p>
    <w:p w:rsidR="00E92F04" w:rsidRPr="00E92F04" w:rsidRDefault="00E92F04" w:rsidP="00E92F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ати  кросворд за даною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темою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тел: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20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12.00 -13.30 </w:t>
      </w:r>
      <w:r w:rsidR="004721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18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.09.20року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Майстер в/н                                                       А.В. Єлізов</w:t>
      </w:r>
    </w:p>
    <w:sectPr w:rsidR="00A72930" w:rsidRPr="00D059A5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1"/>
  </w:num>
  <w:num w:numId="5">
    <w:abstractNumId w:val="12"/>
  </w:num>
  <w:num w:numId="6">
    <w:abstractNumId w:val="22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7"/>
  </w:num>
  <w:num w:numId="12">
    <w:abstractNumId w:val="23"/>
  </w:num>
  <w:num w:numId="13">
    <w:abstractNumId w:val="24"/>
  </w:num>
  <w:num w:numId="14">
    <w:abstractNumId w:val="2"/>
  </w:num>
  <w:num w:numId="15">
    <w:abstractNumId w:val="10"/>
  </w:num>
  <w:num w:numId="16">
    <w:abstractNumId w:val="9"/>
  </w:num>
  <w:num w:numId="17">
    <w:abstractNumId w:val="19"/>
  </w:num>
  <w:num w:numId="18">
    <w:abstractNumId w:val="17"/>
  </w:num>
  <w:num w:numId="19">
    <w:abstractNumId w:val="25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18"/>
  </w:num>
  <w:num w:numId="25">
    <w:abstractNumId w:val="11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B72BB"/>
    <w:rsid w:val="000E3449"/>
    <w:rsid w:val="000F18BC"/>
    <w:rsid w:val="0018190A"/>
    <w:rsid w:val="001D2A7E"/>
    <w:rsid w:val="001F77F7"/>
    <w:rsid w:val="00202D91"/>
    <w:rsid w:val="002232AB"/>
    <w:rsid w:val="002430E5"/>
    <w:rsid w:val="002569F1"/>
    <w:rsid w:val="0028543D"/>
    <w:rsid w:val="00293301"/>
    <w:rsid w:val="002A0E44"/>
    <w:rsid w:val="002B7C21"/>
    <w:rsid w:val="003343C3"/>
    <w:rsid w:val="00397986"/>
    <w:rsid w:val="003F7BBD"/>
    <w:rsid w:val="004325C3"/>
    <w:rsid w:val="00436219"/>
    <w:rsid w:val="00451B8A"/>
    <w:rsid w:val="004721CF"/>
    <w:rsid w:val="004E0596"/>
    <w:rsid w:val="004F66EE"/>
    <w:rsid w:val="00522CEC"/>
    <w:rsid w:val="00596B6C"/>
    <w:rsid w:val="005D42FD"/>
    <w:rsid w:val="005E2D64"/>
    <w:rsid w:val="006316EF"/>
    <w:rsid w:val="00636D5B"/>
    <w:rsid w:val="0063785F"/>
    <w:rsid w:val="00650999"/>
    <w:rsid w:val="00672887"/>
    <w:rsid w:val="00683E7E"/>
    <w:rsid w:val="006909F6"/>
    <w:rsid w:val="00696982"/>
    <w:rsid w:val="00830903"/>
    <w:rsid w:val="0084202A"/>
    <w:rsid w:val="00846FD9"/>
    <w:rsid w:val="0085532D"/>
    <w:rsid w:val="008745BA"/>
    <w:rsid w:val="00890FB7"/>
    <w:rsid w:val="0094768F"/>
    <w:rsid w:val="00952506"/>
    <w:rsid w:val="0096222F"/>
    <w:rsid w:val="00974B0D"/>
    <w:rsid w:val="0097639D"/>
    <w:rsid w:val="009836DC"/>
    <w:rsid w:val="009E3F73"/>
    <w:rsid w:val="00A16FA2"/>
    <w:rsid w:val="00A26240"/>
    <w:rsid w:val="00A674DB"/>
    <w:rsid w:val="00A72930"/>
    <w:rsid w:val="00A95650"/>
    <w:rsid w:val="00AA4D8D"/>
    <w:rsid w:val="00BC1EA8"/>
    <w:rsid w:val="00BD431D"/>
    <w:rsid w:val="00CC2FEE"/>
    <w:rsid w:val="00D059A5"/>
    <w:rsid w:val="00D44419"/>
    <w:rsid w:val="00D464C3"/>
    <w:rsid w:val="00D60B7C"/>
    <w:rsid w:val="00D87F4F"/>
    <w:rsid w:val="00DB5973"/>
    <w:rsid w:val="00DD0EC9"/>
    <w:rsid w:val="00E7440E"/>
    <w:rsid w:val="00E92F04"/>
    <w:rsid w:val="00EB7FDD"/>
    <w:rsid w:val="00EF3824"/>
    <w:rsid w:val="00F46E00"/>
    <w:rsid w:val="00F50CEC"/>
    <w:rsid w:val="00F64C5B"/>
    <w:rsid w:val="00F876DB"/>
    <w:rsid w:val="00FA2739"/>
    <w:rsid w:val="00FA3945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BXaPIcPjja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ndrey03323@gmail.co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andrey0332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hyperlink" Target="https://www.youtube.com/watch?v=zkzrkt02b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6687-E9DC-464E-9D76-4B4E982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21</cp:revision>
  <dcterms:created xsi:type="dcterms:W3CDTF">2020-05-02T16:20:00Z</dcterms:created>
  <dcterms:modified xsi:type="dcterms:W3CDTF">2020-05-08T15:35:00Z</dcterms:modified>
</cp:coreProperties>
</file>