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254E58"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C4D04" w:rsidRPr="009F4F7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4587F" w:rsidRPr="009F4F75" w:rsidRDefault="00C4587F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684C48" w:rsidRPr="009F4F75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433EC6" w:rsidRPr="009F4F7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6F63E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Поняття про жорсткість води та способи її усунення</w:t>
      </w:r>
      <w:r w:rsidRPr="009F4F7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73BB2" w:rsidRPr="009F4F75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73BB2" w:rsidRPr="009F4F75" w:rsidRDefault="00673BB2" w:rsidP="00673BB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3C411D" w:rsidRPr="009F4F75" w:rsidRDefault="00673BB2" w:rsidP="00254E58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§ 2</w:t>
      </w:r>
      <w:r w:rsidR="006F63E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П.П.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9F4F75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9F4F75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клас: </w:t>
      </w:r>
      <w:hyperlink r:id="rId6" w:history="1">
        <w:r w:rsidRPr="009F4F75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</w:p>
    <w:p w:rsid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</w:t>
      </w:r>
      <w:r w:rsidR="009F4F75">
        <w:rPr>
          <w:rFonts w:ascii="Times New Roman" w:hAnsi="Times New Roman" w:cs="Times New Roman"/>
          <w:sz w:val="28"/>
          <w:szCs w:val="28"/>
          <w:lang w:val="uk-UA"/>
        </w:rPr>
        <w:t>обов’язково те</w:t>
      </w:r>
      <w:r w:rsidR="00F54561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9F4F75">
        <w:rPr>
          <w:rFonts w:ascii="Times New Roman" w:hAnsi="Times New Roman" w:cs="Times New Roman"/>
          <w:sz w:val="28"/>
          <w:szCs w:val="28"/>
          <w:lang w:val="uk-UA"/>
        </w:rPr>
        <w:t xml:space="preserve"> що виділено спеціальним фоном</w:t>
      </w:r>
      <w:r w:rsidRPr="009F4F7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2E83" w:rsidRPr="009F4F75" w:rsidRDefault="00E92E83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для самоперевірки.</w:t>
      </w:r>
    </w:p>
    <w:p w:rsidR="00F46DEB" w:rsidRPr="009F4F75" w:rsidRDefault="00D54072" w:rsidP="00CC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6F63EC" w:rsidRDefault="006F63EC" w:rsidP="006F63EC">
      <w:pPr>
        <w:spacing w:after="0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ru-RU"/>
        </w:rPr>
      </w:pP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shd w:val="clear" w:color="auto" w:fill="FBE4D5" w:themeFill="accent2" w:themeFillTint="33"/>
          <w:lang w:val="uk-UA" w:eastAsia="ru-RU"/>
        </w:rPr>
        <w:t xml:space="preserve">Жорсткість води -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сукупність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властивостей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зумовлених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вмістом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у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катіонів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та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Якщо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вода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містить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значні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кількості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вапнякових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солей, то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таку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 воду 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називають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 твердою, а коли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цих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солей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зовсім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немає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або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вони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містяться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незначних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кількостях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, то — </w:t>
      </w:r>
      <w:proofErr w:type="spellStart"/>
      <w:proofErr w:type="gramStart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м'якою</w:t>
      </w:r>
      <w:proofErr w:type="spellEnd"/>
      <w:r w:rsidRPr="006F63EC">
        <w:rPr>
          <w:rFonts w:ascii="Times New Roman" w:eastAsia="Times New Roman" w:hAnsi="Times New Roman" w:cs="Times New Roman"/>
          <w:bCs/>
          <w:color w:val="292B2C"/>
          <w:sz w:val="28"/>
          <w:szCs w:val="28"/>
          <w:shd w:val="clear" w:color="auto" w:fill="FBE4D5" w:themeFill="accent2" w:themeFillTint="33"/>
          <w:lang w:eastAsia="ru-RU"/>
        </w:rPr>
        <w:t>.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Вивчаючи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середні та кислі солі, ви ознайомилися із солями Кальцію та Магнію. Дослідженнями вод деяких морів, водоймищ і джерел виявлено, що в ній може бути надмірна кількість розчинних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гідрогенкарбонатів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, зокрема Кальцію та Магнію.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Са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2+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і Mg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perscript"/>
          <w:lang w:eastAsia="ru-RU"/>
        </w:rPr>
        <w:t>2+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створюють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сягає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10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ммоль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літрі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води.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дощовій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приблизно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5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Крім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хлориди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Залежно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того,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розрізняють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два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(рис. 59).</w:t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991100" cy="1485900"/>
            <wp:effectExtent l="0" t="0" r="0" b="0"/>
            <wp:docPr id="4" name="Рисунок 4" descr="https://history.vn.ua/pidruchniki/savchin-chemistry-11-class-2019-standard-level/savchin-chemistry-11-class-2019-standard-level.files/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6" descr="https://history.vn.ua/pidruchniki/savchin-chemistry-11-class-2019-standard-level/savchin-chemistry-11-class-2019-standard-level.files/image1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Рис. 59.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Види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води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Способи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усунення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води. 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Найпростіший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спосіб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усунення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тимчасової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жорсткості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кип'ятіння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неодноразово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бачили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внутрішній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поверхні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чайників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вапняний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накип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нерозчинні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осад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кип'ятіння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Подібно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того як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кип'ятіння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2543175" cy="361950"/>
            <wp:effectExtent l="0" t="0" r="9525" b="0"/>
            <wp:docPr id="3" name="Рисунок 3" descr="https://history.vn.ua/pidruchniki/savchin-chemistry-11-class-2019-standard-level/savchin-chemistry-11-class-2019-standard-level.files/imag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7" descr="https://history.vn.ua/pidruchniki/savchin-chemistry-11-class-2019-standard-level/savchin-chemistry-11-class-2019-standard-level.files/image1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Тимчасову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усунути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подіяти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вапняним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молоком </w:t>
      </w: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Ca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HCO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+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(ОН)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2СаСО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↓+ 2H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O.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Карбонати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осад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дією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кальцинованої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Na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СаСО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+ 2NaHCO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Вам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мило 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натрієву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стеаринової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При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додаванні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мила до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відбувається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містяться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милі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Унаслідок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 осад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нерозчинний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стеариноат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призводить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надмірного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мила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F54561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proofErr w:type="spellStart"/>
      <w:proofErr w:type="gram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(</w:t>
      </w:r>
      <w:proofErr w:type="gram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НСО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+ 2C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17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H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35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COONa = (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17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35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СОО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↓ + Na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CO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+ CO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↑ + H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O.</w:t>
      </w:r>
    </w:p>
    <w:p w:rsidR="006F63EC" w:rsidRPr="00F54561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Уважно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проаналізуємо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переконаємося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кожному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разі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гідрогенкарбонати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перетворюються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виводяться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</w:t>
      </w:r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розчину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утворюючи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нерозчинні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F54561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усувають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дією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кальцинованої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: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CaCl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Na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СаСО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+ 2NaCl;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MgCl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Na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MgCO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+ 2NaCl.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одночасно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кальциновану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соду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усувають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тимчасову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),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постійну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некарбонатну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Воду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зм'якшують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тільки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побутових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й на великих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підприємствах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Один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способів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йонообмінних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смол,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містять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здатні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обмінюватися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суть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зм'якшення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полягає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виведенні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катіонів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спричиняють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D824DAD" wp14:editId="1B33D9FD">
            <wp:extent cx="5940425" cy="4081780"/>
            <wp:effectExtent l="0" t="0" r="3175" b="0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396F3AFB-CB47-43D7-9F2B-26B95158FD7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396F3AFB-CB47-43D7-9F2B-26B95158FD7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lastRenderedPageBreak/>
        <w:t>Вплив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води на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здоров'я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людини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 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Доведено,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висока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концентрація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йонів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воді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насамперед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Мило не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завжди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повністю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очищає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воду, тому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залишаються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рештки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Вони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забивають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пори,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погіршуючи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дихання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Як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наслідок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виникають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подразнення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висипи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прищі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лупа.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псується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воно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ламким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випадає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з'являється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лупа. Тому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після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миття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важливо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сполоскувати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кип'яченою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водою.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Потрапляючи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надмірній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кількості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сполуки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Магнію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призводять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появи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каміння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нирках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сечівниках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порушують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роботу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серцево-судинної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жовчних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проток та опорно-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рухового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апарату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стінках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кишечнику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осідають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шлаки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домашніх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найефективнішим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способом є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фільтрів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йонного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обміну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виробляє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промисловість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побутового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спричиняє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економічні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затрати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нагрівальних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приладах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осідає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накип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знижує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електропровідність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отже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зумовлює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додаткове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витрачання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електроенергії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Унаслідок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накипу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парові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котли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пральні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машини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можуть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зламатися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з часом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пристрої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виходять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ладу.</w:t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Жорстка</w:t>
      </w:r>
      <w:proofErr w:type="spellEnd"/>
      <w:r w:rsidRPr="006F63E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вода</w:t>
      </w:r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негативно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впливає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здоров'я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викликаючи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захворювання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волосся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нирок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серцево-судинної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системи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жовчних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проток, опорно-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рухового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апарату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6F63EC" w:rsidRPr="006F63EC" w:rsidRDefault="006F63EC" w:rsidP="006F63EC">
      <w:pPr>
        <w:shd w:val="clear" w:color="auto" w:fill="FBE4D5" w:themeFill="accent2" w:themeFillTint="33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жорсткої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призводить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економічних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затрат.</w:t>
      </w:r>
    </w:p>
    <w:p w:rsidR="006F63EC" w:rsidRPr="006F63EC" w:rsidRDefault="006F63EC" w:rsidP="006F63EC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spacing w:after="0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eastAsia="ru-RU"/>
        </w:rPr>
      </w:pPr>
    </w:p>
    <w:p w:rsidR="00CC4A72" w:rsidRPr="009F4F75" w:rsidRDefault="00CC4A72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br w:type="page"/>
      </w:r>
    </w:p>
    <w:p w:rsidR="00F46DEB" w:rsidRPr="009F4F75" w:rsidRDefault="00F46DEB" w:rsidP="00F46D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F4F7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ЗАДАЧІ ДЛЯ САМОСТІЙНОГО ВИРІШЕННЯ</w:t>
      </w:r>
    </w:p>
    <w:p w:rsidR="00F46DEB" w:rsidRPr="009F4F75" w:rsidRDefault="00F46DEB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F63EC" w:rsidRPr="006F63EC" w:rsidRDefault="006F63EC" w:rsidP="006F63EC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Складіть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наведеною</w:t>
      </w:r>
      <w:proofErr w:type="spellEnd"/>
      <w:r w:rsidRPr="006F63EC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схемою:</w:t>
      </w:r>
    </w:p>
    <w:p w:rsidR="006F63EC" w:rsidRDefault="006F63EC" w:rsidP="006F63EC">
      <w:p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6F63EC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3419475" cy="561975"/>
            <wp:effectExtent l="0" t="0" r="9525" b="9525"/>
            <wp:docPr id="7" name="Рисунок 7" descr="https://history.vn.ua/pidruchniki/savchin-chemistry-11-class-2019-standard-level/savchin-chemistry-11-class-2019-standard-level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52" descr="https://history.vn.ua/pidruchniki/savchin-chemistry-11-class-2019-standard-level/savchin-chemistry-11-class-2019-standard-level.files/image1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B9" w:rsidRPr="00E614B9" w:rsidRDefault="00E614B9" w:rsidP="00E614B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Складіть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рівняння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реакцій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схемами:</w:t>
      </w:r>
    </w:p>
    <w:p w:rsidR="00E614B9" w:rsidRPr="00E614B9" w:rsidRDefault="00E614B9" w:rsidP="00E614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а)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→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СаО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→ </w:t>
      </w:r>
      <w:proofErr w:type="spellStart"/>
      <w:proofErr w:type="gram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 СаСО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 Na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→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 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NaCl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:rsidR="00E614B9" w:rsidRPr="00E614B9" w:rsidRDefault="00E614B9" w:rsidP="00E614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) 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→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 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→ 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Cl → 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OH → (NH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)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→ SO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→ K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.</w:t>
      </w:r>
    </w:p>
    <w:p w:rsidR="00E614B9" w:rsidRPr="00E614B9" w:rsidRDefault="00E614B9" w:rsidP="00E614B9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Натрій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сульфіт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масою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25,2 г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прореагував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надлишком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хлоридної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кислоти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Обчисліть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масу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утвореної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об'єм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газу (н. у.),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утворилися</w:t>
      </w:r>
      <w:proofErr w:type="spellEnd"/>
      <w:r w:rsidRPr="00E614B9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6534D" w:rsidRPr="009F4F75" w:rsidRDefault="0016534D" w:rsidP="00684C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4D" w:rsidRPr="009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CB"/>
    <w:multiLevelType w:val="multilevel"/>
    <w:tmpl w:val="678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5D7"/>
    <w:multiLevelType w:val="multilevel"/>
    <w:tmpl w:val="105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75CA"/>
    <w:multiLevelType w:val="hybridMultilevel"/>
    <w:tmpl w:val="53F2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754D"/>
    <w:multiLevelType w:val="hybridMultilevel"/>
    <w:tmpl w:val="F44A745A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F60"/>
    <w:multiLevelType w:val="singleLevel"/>
    <w:tmpl w:val="556EF49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1E46BE"/>
    <w:multiLevelType w:val="multilevel"/>
    <w:tmpl w:val="4C6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439CE"/>
    <w:multiLevelType w:val="multilevel"/>
    <w:tmpl w:val="C3F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30118"/>
    <w:multiLevelType w:val="hybridMultilevel"/>
    <w:tmpl w:val="297CD11C"/>
    <w:lvl w:ilvl="0" w:tplc="A49A2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E3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A2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E6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AD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C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854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F87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D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211744E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89C"/>
    <w:multiLevelType w:val="hybridMultilevel"/>
    <w:tmpl w:val="5070298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46A6"/>
    <w:multiLevelType w:val="hybridMultilevel"/>
    <w:tmpl w:val="2E4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6157"/>
    <w:multiLevelType w:val="multilevel"/>
    <w:tmpl w:val="358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  <w:lvlOverride w:ilvl="2">
      <w:startOverride w:val="221"/>
    </w:lvlOverride>
  </w:num>
  <w:num w:numId="5">
    <w:abstractNumId w:val="0"/>
    <w:lvlOverride w:ilvl="2">
      <w:startOverride w:val="222"/>
    </w:lvlOverride>
  </w:num>
  <w:num w:numId="6">
    <w:abstractNumId w:val="0"/>
    <w:lvlOverride w:ilvl="2">
      <w:startOverride w:val="223"/>
    </w:lvlOverride>
  </w:num>
  <w:num w:numId="7">
    <w:abstractNumId w:val="0"/>
    <w:lvlOverride w:ilvl="2">
      <w:startOverride w:val="224"/>
    </w:lvlOverride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4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2"/>
    <w:rsid w:val="0016534D"/>
    <w:rsid w:val="00254E58"/>
    <w:rsid w:val="002C14CA"/>
    <w:rsid w:val="00326D9B"/>
    <w:rsid w:val="00372F40"/>
    <w:rsid w:val="00384AC6"/>
    <w:rsid w:val="003C411D"/>
    <w:rsid w:val="003C4D04"/>
    <w:rsid w:val="00433EC6"/>
    <w:rsid w:val="00653CD1"/>
    <w:rsid w:val="00673BB2"/>
    <w:rsid w:val="00684C48"/>
    <w:rsid w:val="006A01CF"/>
    <w:rsid w:val="006F63EC"/>
    <w:rsid w:val="00840C09"/>
    <w:rsid w:val="009F4F75"/>
    <w:rsid w:val="00AE4F26"/>
    <w:rsid w:val="00B40E8B"/>
    <w:rsid w:val="00C4587F"/>
    <w:rsid w:val="00C53124"/>
    <w:rsid w:val="00CC4A72"/>
    <w:rsid w:val="00D54072"/>
    <w:rsid w:val="00D74FD9"/>
    <w:rsid w:val="00E614B9"/>
    <w:rsid w:val="00E92E83"/>
    <w:rsid w:val="00E9598A"/>
    <w:rsid w:val="00F46DEB"/>
    <w:rsid w:val="00F54561"/>
    <w:rsid w:val="00FA4423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9C9A"/>
  <w15:chartTrackingRefBased/>
  <w15:docId w15:val="{7DAA4E26-541A-42E8-BAFD-75B7BA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B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BB2"/>
    <w:rPr>
      <w:i/>
      <w:iCs/>
    </w:rPr>
  </w:style>
  <w:style w:type="character" w:styleId="a7">
    <w:name w:val="Strong"/>
    <w:basedOn w:val="a0"/>
    <w:uiPriority w:val="22"/>
    <w:qFormat/>
    <w:rsid w:val="00673BB2"/>
    <w:rPr>
      <w:b/>
      <w:bCs/>
    </w:rPr>
  </w:style>
  <w:style w:type="paragraph" w:customStyle="1" w:styleId="rvps5">
    <w:name w:val="rvps5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84C48"/>
  </w:style>
  <w:style w:type="paragraph" w:customStyle="1" w:styleId="rvps3">
    <w:name w:val="rvps3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684C48"/>
  </w:style>
  <w:style w:type="character" w:customStyle="1" w:styleId="rvts10">
    <w:name w:val="rvts10"/>
    <w:basedOn w:val="a0"/>
    <w:rsid w:val="00684C48"/>
  </w:style>
  <w:style w:type="paragraph" w:customStyle="1" w:styleId="rvps22">
    <w:name w:val="rvps2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684C48"/>
  </w:style>
  <w:style w:type="character" w:customStyle="1" w:styleId="rvts19">
    <w:name w:val="rvts19"/>
    <w:basedOn w:val="a0"/>
    <w:rsid w:val="00684C48"/>
  </w:style>
  <w:style w:type="paragraph" w:customStyle="1" w:styleId="rvps4">
    <w:name w:val="rvps4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84C48"/>
  </w:style>
  <w:style w:type="paragraph" w:customStyle="1" w:styleId="rvps70">
    <w:name w:val="rvps70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40E8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0E8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F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B90B-A9E3-49EF-B4F6-CCA75492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16</cp:revision>
  <dcterms:created xsi:type="dcterms:W3CDTF">2020-03-29T12:07:00Z</dcterms:created>
  <dcterms:modified xsi:type="dcterms:W3CDTF">2020-05-03T15:01:00Z</dcterms:modified>
</cp:coreProperties>
</file>