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024BAF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C41BA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C2D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.06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7E11E3" w:rsidRPr="00C41BA4" w:rsidRDefault="00024BAF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</w:t>
      </w:r>
      <w:r w:rsidRPr="00C41BA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024BAF" w:rsidRPr="00024BAF" w:rsidRDefault="007E11E3" w:rsidP="00024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r w:rsidR="00024BAF" w:rsidRPr="00024B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r w:rsidR="00024BAF" w:rsidRPr="0002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О.Л.Засядько   вайбер: 068-07-62-168                                  ел.пошта: </w:t>
      </w:r>
      <w:hyperlink r:id="rId7" w:history="1">
        <w:r w:rsidR="00024BAF" w:rsidRPr="00024B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024BAF" w:rsidRPr="00024BAF" w:rsidRDefault="00024BAF" w:rsidP="00024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11E3" w:rsidRDefault="007E11E3" w:rsidP="00024B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E624E9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28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624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Очищення від кори штамбів і скелетних гілок.</w:t>
      </w:r>
    </w:p>
    <w:p w:rsidR="00BC2D4A" w:rsidRDefault="002D7186" w:rsidP="00BC2D4A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24E9" w:rsidRPr="00E624E9" w:rsidRDefault="002D7186" w:rsidP="00E624E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4E9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очищенні від кори штамбів і скелетних гілок.</w:t>
      </w:r>
    </w:p>
    <w:p w:rsidR="00E624E9" w:rsidRPr="00E624E9" w:rsidRDefault="00BC2D4A" w:rsidP="00E624E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E624E9">
        <w:rPr>
          <w:rFonts w:ascii="Times New Roman" w:eastAsia="Calibri" w:hAnsi="Times New Roman" w:cs="Times New Roman"/>
          <w:sz w:val="28"/>
          <w:szCs w:val="28"/>
          <w:lang w:val="uk-UA"/>
        </w:rPr>
        <w:t>очищення</w:t>
      </w:r>
      <w:r w:rsidR="00E624E9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кори штамбів і скелетних гілок.</w:t>
      </w:r>
    </w:p>
    <w:p w:rsidR="00E624E9" w:rsidRPr="00E624E9" w:rsidRDefault="002D7186" w:rsidP="00E624E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E624E9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очищенні від кори штамбів і скелетних гілок.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F75D59" w:rsidRPr="00CB40B0" w:rsidRDefault="005E0840" w:rsidP="00F75D59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CB40B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вивчали тему: </w:t>
      </w:r>
      <w:r w:rsidR="00DD698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="00CB40B0" w:rsidRPr="00CB40B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«</w:t>
      </w:r>
      <w:r w:rsidR="00E624E9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Видалення кореневих паростків</w:t>
      </w:r>
      <w:r w:rsidR="00CB40B0" w:rsidRPr="00CB40B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75D59" w:rsidRPr="00CB40B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BC2D4A">
      <w:pPr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вайбер) стосовно минулої теми уроку. Ці питання середнього та </w:t>
      </w:r>
      <w:r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EF7C03" w:rsidRPr="00024BAF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Опишіть організацію робочого місця при роботі.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 роботі.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 при видаленні кореневих паростків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скільки сантиметрів від поверхні землі зрізують паросль? 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Що вкопують в землю, щоб не розросталось коріння?</w:t>
      </w:r>
    </w:p>
    <w:p w:rsidR="00E624E9" w:rsidRPr="00E624E9" w:rsidRDefault="00E624E9" w:rsidP="00E624E9">
      <w:pPr>
        <w:pStyle w:val="a5"/>
        <w:numPr>
          <w:ilvl w:val="0"/>
          <w:numId w:val="18"/>
        </w:numPr>
        <w:shd w:val="clear" w:color="auto" w:fill="FFFFFF"/>
        <w:spacing w:after="75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Що може знизити урожай плодів?</w:t>
      </w:r>
    </w:p>
    <w:p w:rsidR="00EF7C03" w:rsidRDefault="00EF7C03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4E9" w:rsidRDefault="00E624E9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4C76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2.Пояснення нового матеріалу 9.30-12.00</w:t>
      </w:r>
      <w:r w:rsidR="00350242" w:rsidRPr="003502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24E9" w:rsidRPr="002D7186" w:rsidRDefault="002D7186" w:rsidP="00E624E9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624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Очищення від кори штамбів і скелетних гілок.</w:t>
      </w:r>
    </w:p>
    <w:p w:rsidR="002D7186" w:rsidRPr="002D7186" w:rsidRDefault="002D7186" w:rsidP="00DD698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4C76B8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E624E9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очищенні від</w:t>
      </w:r>
      <w:r w:rsidR="00E624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кори штамбів і скелетних гілок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DD6983" w:rsidRPr="00DD6983" w:rsidRDefault="007C19A2" w:rsidP="00DD6983">
      <w:pPr>
        <w:spacing w:after="0"/>
        <w:ind w:left="142" w:hanging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</w:t>
      </w:r>
      <w:r w:rsidR="00DD6983" w:rsidRPr="00DD6983">
        <w:rPr>
          <w:rFonts w:ascii="Times New Roman" w:eastAsia="Calibri" w:hAnsi="Times New Roman" w:cs="Times New Roman"/>
          <w:sz w:val="28"/>
          <w:szCs w:val="28"/>
          <w:lang w:val="uk-UA"/>
        </w:rPr>
        <w:t>промиванні скла оранжереї.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</w:t>
      </w:r>
      <w:r w:rsidR="00DD69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и, перевірити і вимкнути струм 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і закрити пускові пристрої на замок.</w:t>
      </w:r>
    </w:p>
    <w:p w:rsidR="004C76B8" w:rsidRPr="007C19A2" w:rsidRDefault="004C76B8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624E9" w:rsidRPr="002D7186" w:rsidRDefault="00E624E9" w:rsidP="00E624E9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Очищення від кори штамбів і скелетних гілок.</w:t>
      </w:r>
    </w:p>
    <w:p w:rsidR="00E624E9" w:rsidRPr="00E624E9" w:rsidRDefault="00E624E9" w:rsidP="00E624E9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зерняткових плодових культурах 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поширені численні захворювання різної етіології, які суттєво знижують врожайність і погіршують якість плодів, нерідко викликають загибель плодових дерев, а інколи і цілих насаджень. Найбільш поширеними із інфекційних хвороб є парша, чорний рак, цитоспороз, плодова гниль, борошниста роса,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іржа, плямистості листків,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кореневий рак, бактеріальний рак кори,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мозаїка яблуні, борознистість деревини. </w:t>
      </w:r>
      <w:r w:rsidRPr="00E62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Тільки правильно сформована стратегія захисту, починаючи з ранньої весни та впродовж літнього періоду, дозволяє зберегти здоров’я саду та отримати здоровий та якісний врожай.</w:t>
      </w:r>
    </w:p>
    <w:p w:rsidR="00E624E9" w:rsidRPr="00E624E9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552825" cy="2173605"/>
            <wp:effectExtent l="0" t="0" r="9525" b="0"/>
            <wp:wrapSquare wrapText="bothSides"/>
            <wp:docPr id="1" name="Рисунок 1" descr="https://www.growhow.in.ua/wp-content/uploads/2019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rowhow.in.ua/wp-content/uploads/2019/03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Парша яблуні. </w:t>
      </w:r>
    </w:p>
    <w:p w:rsid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Захисні заходи проти перелічених захворювань в 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першу чергу повинні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направлені на обмеження джерел  зимуючої інфекції  фітопатогенів. Так, збудник парші яблуні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Venturia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inaequalis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Winter) зимує на обпалих уражених листках, в яких зберігаються псевдотеції патогена і частково на уражених пагонах у вигляді грибниці; збудник парші груші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V. pirina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Aderh.)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уражених пагонах зимує грибниця патогена, а навесні на них формується коні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діальне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спороношення. Додатковим джерелом інфекції для груші є також обпалі уражені листки з псевдотеціями гриба. Первинне зараження рослин відбувається весною від сумкоспор. Дозрівають і поширюються сумкоспори за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 вологості і температури повітря в межах від 7 до 24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(оптимум 18-20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С).  Сумкоспори  патогенна є первинним джерелом зараження рослин навесні, коні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діальне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спороношення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вторинна інфекція.</w:t>
      </w:r>
    </w:p>
    <w:p w:rsidR="005B457B" w:rsidRPr="00E624E9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942975" cy="2416175"/>
            <wp:effectExtent l="0" t="0" r="9525" b="3175"/>
            <wp:wrapSquare wrapText="bothSides"/>
            <wp:docPr id="2" name="Рисунок 2" descr="https://www.growhow.in.ua/wp-content/uploads/2019/03/4-1-11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rowhow.in.ua/wp-content/uploads/2019/03/4-1-117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Чорний рак</w:t>
      </w:r>
      <w:r w:rsidR="005B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(уражений штамб дерева)</w:t>
      </w:r>
    </w:p>
    <w:p w:rsidR="00E624E9" w:rsidRPr="00024BAF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7233A" wp14:editId="1EEF729D">
            <wp:extent cx="1747323" cy="1724025"/>
            <wp:effectExtent l="0" t="0" r="5715" b="0"/>
            <wp:docPr id="5" name="Рисунок 5" descr="https://www.growhow.in.ua/wp-content/uploads/2019/03/7-300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rowhow.in.ua/wp-content/uploads/2019/03/7-300x2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23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B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Чорний рак</w:t>
      </w:r>
      <w:r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уражений плід). 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Джерело інфекції чорного раку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Sphaeropsis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malorum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Peck</w:t>
      </w:r>
      <w:r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є грибниця патогена, що зимує в ураженій корі штамба, скелетних гілок, пагонів, а також пікніди з пікноспорами гриба на уражених органах. 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Навесні, коли в рослині починається сокорух 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 тканин, починає розвиватися і грибниця патогена по краях ураженої ділянки. Вона проникає в здорову кору, на відстань до 1 см від краю некрозної плями, що слід враховувати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зачищення чорноракових плям. 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ікніди гриба під час весняних дощів, вивільняють величезну кількість пікноспор, які заражають рослини. Проростають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ікноспори за наявності краплинної вологи і температури від 5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33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(оптимум 25-27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С). Інкубаційний період хвороби за ураження кори триває 13–30 діб, за ураження плодів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6–9 діб. Масове зараження дерев чорним раком відбувається за наявності пошкоджень покривних тканин кори (морозобоїни, пошкодження шкідниками, рани під час обрізання дерев та 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цитоспорозу  (гриби із роду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Cytospora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зберігаються в ураженій корі стовбурів і скелетних гілок  у вигляді стром, наповнених коні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діальним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спороношенням. Уражуються хворобою переважно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дерева у місцях механічних пошкоджень.</w:t>
      </w: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Pr="00E624E9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4E9" w:rsidRPr="00E624E9" w:rsidRDefault="005B457B" w:rsidP="00E62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554B00C" wp14:editId="2CF2996C">
            <wp:simplePos x="0" y="0"/>
            <wp:positionH relativeFrom="column">
              <wp:posOffset>-327660</wp:posOffset>
            </wp:positionH>
            <wp:positionV relativeFrom="paragraph">
              <wp:posOffset>-283210</wp:posOffset>
            </wp:positionV>
            <wp:extent cx="704850" cy="2857500"/>
            <wp:effectExtent l="0" t="0" r="0" b="0"/>
            <wp:wrapSquare wrapText="bothSides"/>
            <wp:docPr id="6" name="Рисунок 6" descr="https://www.growhow.in.ua/wp-content/uploads/2019/03/8-7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rowhow.in.ua/wp-content/uploads/2019/03/8-74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E9"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Звичайний західноєвропейський рак</w:t>
      </w:r>
      <w:proofErr w:type="gramStart"/>
      <w:r w:rsidR="00E624E9"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E624E9"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 інфекції звичайного раку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(Nectria galligena Bres.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) є уражена кора стовбурів, скелетних і напівскелетних гілок, в яких патоген зберігається у формі грибниці та перитеціїв з сумками  і сумкоспорами. Для поширення сумкоспор важливе значення має вологість. Зараження рослин  відбувається у дощові осінні та весняні місяці сумкоспорами гриба.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 борошнистої роси яблуні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Podosphaera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leucotricha 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Salm) зимує грибницею в бруньках уражених пагонів. Навесні, на початку фази відокремлення пуп’янків, на уражених пагонах з’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являється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конідіальне спороношення.  Конідії гриба легко поширюються вітром або комахами на відстань до 1 км. Посилюється формування конідіального спороношення з розвитком молодих листкі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ів. Найбільш сприятливі умови для зараження рослин створюються за температури 18-25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і високій насиченості повітря вологою. Сумчаста стадія гриба (клейстотеції) не має значення в розвитку інфекції, оскільки до весни вони руйнуються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впливом інших мікроорганізмів.</w:t>
      </w:r>
    </w:p>
    <w:p w:rsidR="00E624E9" w:rsidRPr="00E624E9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113405" cy="2571750"/>
            <wp:effectExtent l="0" t="0" r="0" b="0"/>
            <wp:wrapSquare wrapText="bothSides"/>
            <wp:docPr id="7" name="Рисунок 7" descr="https://www.growhow.in.ua/wp-content/uploads/2019/0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rowhow.in.ua/wp-content/uploads/2019/03/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Борошниста роса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(уражені листки). </w:t>
      </w:r>
    </w:p>
    <w:p w:rsid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 інфекції плодової гнилі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Monilia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fructigena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Sacc., 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M. laxa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f. sp. malia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Sacc., 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linhartiana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Honey) є муміфіковані плоди, які зимують на деревах, на поверхні ґрунту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кроною дерева. Навесні на таких плодах формуються подушечки конідіального спороношення патогені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Pr="00E624E9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4E9" w:rsidRPr="00E624E9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595071B" wp14:editId="213E7DD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05025" cy="2857500"/>
            <wp:effectExtent l="0" t="0" r="9525" b="0"/>
            <wp:wrapSquare wrapText="bothSides"/>
            <wp:docPr id="8" name="Рисунок 8" descr="https://www.growhow.in.ua/wp-content/uploads/2019/03/9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rowhow.in.ua/wp-content/uploads/2019/03/9-221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Плодова гниль на яблуні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Додатковим джерелом інфекції є  грибниця в уражених пагонах. Навесні хвороба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вигляді моніліального опіку суцвіть, гілочок. Уражені квітки, листки, зав’язі, плодові гілочки в’януть і засихають, залишаючись висіти на дереві.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вегетації гриби поширюються конідіями. Найінтенсивніший розвиток хвороби спостерігається  за температури 24-28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і відносній вологості повітря понад 75%. Зараження плодів, як правило, здійснюється у місцях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іжих поранень шкірки, спричинених плодожеркою, казаркою й птахами. Гриби  можуть проникати у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також у місцях тріщин, що утворюються 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внаслідок розвитку парші. Іноді збудники проникають в плід через черешкову ямку, але у цьому разі зараження відбувається тільки за наявності краплинної вологи.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 білої плямистості листків груші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Septoria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piricola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Desm</w:t>
      </w:r>
      <w:r w:rsidRPr="00E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зимує грибницею на опалих уражених листках, а навесні на них формуються псевдотеції. Сумкоспори є первинною інфекцією,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ікнідіальна стадія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вторинною. В окремі роки на опалих листках можуть зимувати 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ікніди гриба, даючи нове покоління пікноспор. Протягом вегетації збудник формує декілька генерацій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ікнідіального спороношення, за допомогою якого швидко поширюється.</w:t>
      </w:r>
    </w:p>
    <w:p w:rsidR="00E624E9" w:rsidRPr="00E624E9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33905" cy="2476500"/>
            <wp:effectExtent l="0" t="0" r="4445" b="0"/>
            <wp:wrapSquare wrapText="bothSides"/>
            <wp:docPr id="10" name="Рисунок 10" descr="https://www.growhow.in.ua/wp-content/uploads/2019/03/15-84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rowhow.in.ua/wp-content/uploads/2019/03/15-841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Біла плямистість листкі</w:t>
      </w:r>
      <w:proofErr w:type="gramStart"/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груші. </w:t>
      </w:r>
    </w:p>
    <w:p w:rsid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 інфекції філостиктозів (гриби із роду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Phyllosticta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в плодових насадженнях є опалі уражені листки, на яких патогени  зимують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ікнідами з пікноспорами, інколи на них формуються і сумчасте спороношення у вигляді перитеціїв з сумками і сумкоспорами. Протягом вегетації гриби поширюються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ікноспорами.</w:t>
      </w: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Pr="00E624E9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4E9" w:rsidRPr="00E624E9" w:rsidRDefault="00E624E9" w:rsidP="00E62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857250" cy="2857500"/>
            <wp:effectExtent l="0" t="0" r="0" b="0"/>
            <wp:wrapSquare wrapText="bothSides"/>
            <wp:docPr id="11" name="Рисунок 11" descr="https://www.growhow.in.ua/wp-content/uploads/2019/03/16-9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rowhow.in.ua/wp-content/uploads/2019/03/16-90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Бактеріальний рак кори.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Збудники бактеріального раку кори яблуні та груші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Pseudomonas syringae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pv. syringae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van Hall.;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Erwinia carotovora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pv. carotovora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Bergey et al.  та ін.) зимують в ураженій корі штамба і скелетних гілок. Краплями дощу і  комахами  бактерії поширюються в навколишньому середовищі, за ураження скелетних гілок відбувається різке зниження врожаю плодів 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ідмирання дерев у фазі плодоношення на великих площах.</w:t>
      </w:r>
    </w:p>
    <w:p w:rsidR="00E624E9" w:rsidRP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 мозаїки яблуні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вірус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Apple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mosaic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virus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зберігається в соку уражених дерев. Поширюється окулянтами і садивним матеріалом. Насінням вірус не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gramEnd"/>
    </w:p>
    <w:p w:rsidR="00E624E9" w:rsidRDefault="00E624E9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 борознистості деревини яблуні,  груші, айви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Apple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stem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grooving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virus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зберігається в соку уражених дерев. Поширюється механічним шляхом,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обрізування, із садивним матеріалом і насінням.</w:t>
      </w: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57B" w:rsidRDefault="005B457B" w:rsidP="00E6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24E9" w:rsidRPr="00E624E9" w:rsidRDefault="00E624E9" w:rsidP="00E624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E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E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ілактики та захисту</w:t>
      </w:r>
    </w:p>
    <w:p w:rsidR="00E624E9" w:rsidRPr="00E624E9" w:rsidRDefault="00E624E9" w:rsidP="005B457B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 на виявлені джерела інфекції в плодових зерняткових насадженнях, ранньою весною і протягом літа необхідно виконати цілу низку захисних заході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погожі дні лютого-березня проти сонячно-морозних опіків, морозобоїн штамби і скелетні гілки слід очистити від кори,  яка відстала, моху і лишайникі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скребка, кордщітки або щітки з твердою щетиною. Виявлені дупла замащують цементом. Всі відходи ретельно збирають і спалюють. Цей захід важливий проти резервації збудників багатьох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захисту штамба і скелетних гілок від сонячних опіків, морозобоїн ефективним є покриття кори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садовою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фарбою «Юніфарб», яка значно перевершує дворазове оброблення дерев 20-30% вапняним молоком з доданням 3-5% мідного купоросу і 0,5% столярного клею. Садова фарба «Юніфарб»  містить мідний купорос, сірку, антисептик та протимікробні добавки, що унеможливлює розвиток фітопатогенів і окремих шкідників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тріщинах кори. Одного фарбування цією фарбою вистачає на цілий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ік. За відсутності фарби «Юніфарб»  можна використати водоемульсійні фарби ВД-К4-577; НД-511; ЕВА-27А та ін. Цей захід проводять весною у випадку неякісної побілки  штамбу дерев восени;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спилювання, негайне видалення з саду і спалювання сильно уражених дерев або окремих гілок, що не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іддаються лікуванню. Вирізування уражених гілок чорним раком, звичайним раком, паршею, борошнистою росою, бактеріальним раком кори та іншими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хворобами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подальшим їх спалюванням;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зняття з дерев і знищення муміфікованих та гнилих плодів, збирання і глибоке загортання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опалого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листя, перекопування пристовбурних ділянок, розпушування міжрядь. Грунт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кроною дерев, уражених бактеріальним раком, слід продезінфікувати хлорним вапном з розрахунку 200 г/м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Вапно розсипають на поверхні ґрунту і перекопують. Всі ці заходи сприяють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ізкому зниженню резервації інфекції збудників грибних і бактеріальних хвороб;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виявлення ракових плям на штамбі або на скелетних гілках необхідно здійснити лікувальні заходи із зачищенням ураженої кори до здорової деревини із захопленням 1,5-2,0 см здорової кори навколо плями. Очищену кору збирають і спалюють, тому що вона є джерелом інфекції.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зачищення рани дезінфікують 1 % мідним купоросом і покривають садовими замазками «Благо Сад»; «Сантар СМ» та ін. Можна використати замазку, яка складається з 70%  нігролу, 15% каніфолі і 15% парафіну.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охолодження до кімнатної температури замазку  наносять шпателем на продезінфіковані рани;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 дерев слід проводити рано навесні, до настання сприятливих температур повітря (15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і вище) для інтенсивного розвитку хвороби. Для сортів з повільним утворенням каллюса використовують цей прийом тільки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неврожайний або слабоврожайний рік. Не рекомендується зачищати рани в роки омолодження крони. Успішне лікування дерев, уражених чорним, 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європейським або бактеріальним раком, спостерігається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коли в ґрунті достатньо вологи і збалансованих  поживних речовин;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обмеження первинної інфекції збудників парші, чорного раку, плодової гнилі та інших хвороб і зимуючих стадій шкідників «перед набуханням бруньок» проводять обприскування-омивання дерев розчинами дозволених інсектицидів (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Препарат 30В, к.е. та інших інсектицидів  проти червоного кліща, яблуневої медяниці, щитівок, попелиць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) з додаванням контактного фунгіциду на основі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гідроксиду міді, в.г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Косайд 2000,  2,0-2,5 кг/га або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сульфату заліза, з.п.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(Айрон, 6-18 кг/га),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сульфату міді, в.п.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(Бордо МК, 15-18 кг/га або  аналоги). Обприскування насаджень проводять в денну пору з нормою витрати робочого розчину 1500-2000 л/га;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відсутності фунгіцидів оброблення дерев до початку сокоруху можна замінити їх обприскуванням 5-7% розчином сечовини, з омиванням кори штамба, скелетних гілок, всієї крони дерева і обов’язковим обприскуванням ґрунту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його кроною. Проти лишайникі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застосовують обприскування дерев 1% мідним купоросом або одним із дозволених мідьвмістимих фунгіцидів. Цей захід здійснюють навесні, у фазі «зеленого конуса».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потреби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насаджень від шкідників до фунгіцидів додають рекомендовані інсектициди.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фазу «мишаче вушко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«лісовий горіх», особливо за низьких температур і частих опадів проти парші дерева обприскують препаратом на основі діючої речовини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дитіанону, кс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(Делавіт, 1,0-2,0 л/га). Повторні обприскування проводять через 10-12 днів;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 розсування і відокремлення бутонів і до кінця цвітіння проти парші, борошнистої роси, моніліозу, філостиктозів та інших хвороб дерева обприскують одним із фунгіцидів на основі діючих речовин: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гідроксиду міді,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(Косайд 2000,  2,0-2,5 кг/га та аналогами);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дитіанону,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(Делан, 0,5-1,0 кг/га та аналогами);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дитіанону + 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іриметанілу,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(Малахіт, 1,25-1,5 л/га);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манкоцебу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з.п. (Дітан М-45, 2,0-3,0 кг/га);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метираму,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(Полірам ДФ, 2,5 кг/га);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метираму + гідроксиду міді,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(Каурітіл 250 ДФ, 3,0 кг/га);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пропінебу, з.п.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(Антракол 70 WP, 1,5-2,0 кг/га); 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сульфату міді,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(Купроксил, 7,0 л/га та аналогами);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фосетил алюмінію, з.п.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(Ефатол, 2,0-3,0 кг/га);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 борошнистої роси та іржі застосовують селективні препарати на основі діючих речовин: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пенконазолу, к.е.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(Топаз 100 ЕС, 0,3-0,4 л/га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проквіназиду, к.е.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(Талендо 20, 0,2-0,25 л/га) та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сірки, в.г.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(Кумулюс ДФ, 6,0 кг/га;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Тіов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 Джет 80 WG, 8,0 кг/га;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Тиорос, 5 кг/га  та аналоги).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Висока ефективність препараті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досягнута  за умов обприскування дерев за температури не нижче ніж 20</w:t>
      </w:r>
      <w:r w:rsidRPr="00E624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Фунгіциди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основі сірки ефективні також проти плодових кліщів;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фазу відокремлення бутонів-рожевий бутон проти парші, борошнистої роси, плодової гнилі, чорного і бактеріального раку та інших хвороб слід використовувати фунгіциди широкої дії на основі діючих речовин: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алюмінію фосфіту + фосфористої кислоти, р.к.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(Фитал, 2,0 л/га);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боскаліду + 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іраклостробіну,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(Белліс, 0,8 кг/га);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гідроксиду міді + сірки, м.с.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(Аккорд,  5,0-7,0 л/га);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дифеноконазолу, к.е.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(Скор 250 ЕС, 0,15-0,2 л/га та аналоги);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дифеноконазолу + цифлуфенаміду, кд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(Циделі Топ 140 DC,  0,6-0,7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дитіанону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кс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(Делавіт, 1,0-2,0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додину,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(Сілліт 400, 1,7-2,0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ізопіразаму + дифеноконазолу,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(Ембрелія 140 SC, 1,2-1,5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каптану,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(Мерпан 80; Мерпан Платинум, 1,9-2,5 кг/га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каптану + рослина олія, кс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Акіра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2,5-3,0 л/га)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каптану + фосфіту калію,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(Карнеоль,  2,5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крезоксим-метилу, в.г.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(Стробі, 0,2 кг/га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крезоксим-метилу + дифеноконазолу,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(Блюз, 0,2 ‒ 0,35 л/га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міклобутанілу + квіноксіфену,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(Принцип 90 SC, 1,0 л/га); 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іраклостробіну + дитіанону,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(Терсел, 2,0-2,5 кг/га);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піриметанілу,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(Скала 400 SC, 0,75-1,2 л/га),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тебуконазолу, ве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(Ікарус 250, 0,5-0,6 л/га; Тезис, к.с., 0,2-0,3 л/га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тебуконазолу + трифлоксістробіну, в.г.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(Натіво 75WG, 0,3-0,35 кг/га);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тебуконазолу + флуопіраму, к.с.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(Луна Експі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іенс 400 SC, 0,50-0,75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тіофанат-метилу, з.п.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(Топсін–М, 1,0-2,0 кг/га та аналоги); 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іадимефону + флутриафолу,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(Джерело, 0,15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трифлоксістробіну, в.г.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(Флінт 50 WG, 0,15 кг/га);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трифлоксістробіну + піриметанілу,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(Флінт Стар 520 SC, 0,4-0,5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трифлоксістробіну + флуопіраму,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(Луна Сенсейшен 500 SC, 0,30-0,35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трифорину, к.е.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(Сапроль, 1,0-1,5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флуазінаму,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(Нандо 500, 0,6 л/га);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флутріафолу, к.с.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(Імпакт 25 SC; Кемастрапакт 250 SC,  0,1-0,15 л/га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фолпету + </w:t>
      </w:r>
      <w:proofErr w:type="gramStart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іадименолу,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(Шавіт Ф, 2,0 кг/га);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ципродинілу, в.г.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(Хорус 75 WG 0,2 – 0,3 кг/га та аналоги);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ципродинілу + тебуконазолу, к.е. 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(Бенелус, 1,0-1,2 л/га). Вибі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фунгіциду базується на даних моніторингу фітосанітарного стану плодових насаджень і спектра захисної дії препарату щодо збудників хвороб, їх видового складу;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відразу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закінчення цвітіння (коли опаде 75% пелюсток) проти парші, плодової гнилі, борошнистої роси та інших хвороб обприскування дерев повторюють одним із вищезгаданих фунгіцидів;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наступне обприскування дерев в саду проти парші, плодової гнилі, борошнистої роси та інших хвороб повторюють через 10-12 днів. У разі необхідності захисту саду від плодожерки (відкладання яйцекладок),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 гусениць білана в робочий розчин слід додавати один із фунгіцидів проти парші і борошнистої роси;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період масового відродження гусениць плодожерки 1-ого покоління дерева обробляють одним із рекомендованих інсектицидів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комбінації з фунгіцидом проти борошнистої роси і парші. У період масового льоту метеликів грушевої плодожерки, орієнтовно через 40 днів після цвітіння пізніх сортів,  доцільно в робочий  розчин до інсектициду додати фунгіцид проти борошнистої роси і парші;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2-2,5 тижнів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попереднього обприскування проти плодожерки, молі, личинок щитівок, червиці в’їдливої та ін. в робочий розчин   інсектициду додають фунгіцид, який ефективний  проти парші, плодової гнилі, борошнистої роси;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комбіноване обприскування дерев інсектофунгіцидами повторюють на зимових сортах яблуні і груші наприкінці липня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серпня проти плодожерки, а також проти  парші, плодової гнилі, борошнистої роси та інших захворювань;</w:t>
      </w:r>
    </w:p>
    <w:p w:rsidR="00E624E9" w:rsidRPr="00E624E9" w:rsidRDefault="00E624E9" w:rsidP="00E624E9">
      <w:pPr>
        <w:numPr>
          <w:ilvl w:val="0"/>
          <w:numId w:val="19"/>
        </w:numPr>
        <w:shd w:val="clear" w:color="auto" w:fill="FFFFFF"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 хвороб плодів </w:t>
      </w:r>
      <w:proofErr w:type="gramStart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їхнього зберігання у сховищах дерева обприскують в період вегетації, але не пізніше, як за 20 днів до початку збирання врожаю зимових сортів фунгіцидом на основі діючої речовини:  </w:t>
      </w:r>
      <w:r w:rsidRPr="00E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ципродинілу + флудіоксонілу, в.г.</w:t>
      </w:r>
      <w:r w:rsidRPr="00E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(Світч 62,5 WG, 0,75-1,0 кг/га).</w:t>
      </w:r>
    </w:p>
    <w:p w:rsidR="00EF7C03" w:rsidRPr="002D7186" w:rsidRDefault="00EF7C03" w:rsidP="00EF7C03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4088" w:rsidRDefault="002D7186" w:rsidP="0015252D">
      <w:pPr>
        <w:spacing w:after="0" w:line="240" w:lineRule="auto"/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5B457B" w:rsidRPr="005B457B" w:rsidRDefault="00C41BA4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6" w:history="1">
        <w:r w:rsidR="005B457B" w:rsidRPr="005B457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https://youtu.be/BF02BTpT1hA</w:t>
        </w:r>
      </w:hyperlink>
    </w:p>
    <w:p w:rsidR="00A72011" w:rsidRPr="005B457B" w:rsidRDefault="00C41BA4" w:rsidP="002D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7" w:history="1">
        <w:r w:rsidR="005B457B" w:rsidRPr="005B457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https://youtu.be/zSwiCmvzgxk</w:t>
        </w:r>
      </w:hyperlink>
    </w:p>
    <w:p w:rsidR="005B457B" w:rsidRPr="005B457B" w:rsidRDefault="005B457B" w:rsidP="002D7186">
      <w:pPr>
        <w:spacing w:after="0" w:line="240" w:lineRule="auto"/>
        <w:rPr>
          <w:lang w:val="uk-UA"/>
        </w:rPr>
      </w:pPr>
    </w:p>
    <w:p w:rsidR="002D7186" w:rsidRDefault="0012569D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 w:rsidR="00A72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роботі</w:t>
      </w:r>
      <w:r w:rsidR="00A72011" w:rsidRPr="00A7201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="00A72011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AE1AA2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="004C3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31E1" w:rsidRPr="004C31E1">
        <w:rPr>
          <w:rFonts w:ascii="Times New Roman" w:hAnsi="Times New Roman" w:cs="Times New Roman"/>
          <w:sz w:val="28"/>
          <w:szCs w:val="28"/>
          <w:lang w:val="uk-UA"/>
        </w:rPr>
        <w:t>очищення</w:t>
      </w:r>
      <w:r w:rsidR="004C3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E1" w:rsidRPr="004C31E1">
        <w:rPr>
          <w:rFonts w:ascii="Times New Roman" w:eastAsia="Calibri" w:hAnsi="Times New Roman" w:cs="Times New Roman"/>
          <w:sz w:val="28"/>
          <w:szCs w:val="28"/>
          <w:lang w:val="uk-UA"/>
        </w:rPr>
        <w:t>від кори</w:t>
      </w:r>
      <w:r w:rsidR="004C31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штамбів і скелетних гілок</w:t>
      </w:r>
    </w:p>
    <w:p w:rsidR="009E6AE1" w:rsidRPr="00AE1AA2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1AA2"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4C31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Чим покривають дерево, щоб захистити його</w:t>
      </w:r>
      <w:r w:rsidR="009E6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4C31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очистити дерево від скелетних гілок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4C31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Чим замащують дупла дерев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024BAF" w:rsidRDefault="002D7186" w:rsidP="00024B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24BAF"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024BAF" w:rsidRPr="00024BAF" w:rsidRDefault="008A0D88" w:rsidP="00024BAF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Відповіді надсилати 03</w:t>
      </w:r>
      <w:r w:rsidR="00C41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bookmarkStart w:id="0" w:name="_GoBack"/>
      <w:bookmarkEnd w:id="0"/>
      <w:r w:rsidR="00024BAF"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.20р. з 12.00-13.30  </w:t>
      </w:r>
      <w:r w:rsidR="00024BAF" w:rsidRPr="00024B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вайбер: 068-07-62-168                                         ел.пошта: </w:t>
      </w:r>
      <w:hyperlink r:id="rId18" w:history="1">
        <w:r w:rsidR="00024BAF" w:rsidRPr="00024BA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1166D0" w:rsidRPr="002D7186" w:rsidRDefault="001166D0" w:rsidP="002B41D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843" w:rsidRPr="001166D0" w:rsidRDefault="00E1284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2843" w:rsidRDefault="00E12843" w:rsidP="00C41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6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Законспектуйте та о</w:t>
      </w:r>
      <w:r w:rsidR="005B457B" w:rsidRPr="005B4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пишіть як  треба очищати дерево </w:t>
      </w:r>
      <w:r w:rsidR="005B457B" w:rsidRPr="00E624E9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5B4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кори штамбів і скелетних гілок.</w:t>
      </w:r>
    </w:p>
    <w:p w:rsidR="00A72011" w:rsidRPr="007D3C80" w:rsidRDefault="00A72011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</w:pPr>
    </w:p>
    <w:p w:rsidR="0012569D" w:rsidRPr="00024BAF" w:rsidRDefault="007E11E3" w:rsidP="002D7186">
      <w:r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r w:rsidR="00024BAF" w:rsidRPr="00024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 О.Л.</w:t>
      </w:r>
    </w:p>
    <w:sectPr w:rsidR="0012569D" w:rsidRPr="0002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89"/>
    <w:multiLevelType w:val="multilevel"/>
    <w:tmpl w:val="5D4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3F07"/>
    <w:multiLevelType w:val="multilevel"/>
    <w:tmpl w:val="5E4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563E"/>
    <w:multiLevelType w:val="multilevel"/>
    <w:tmpl w:val="B1E4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C4BF3"/>
    <w:multiLevelType w:val="hybridMultilevel"/>
    <w:tmpl w:val="F4C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4467"/>
    <w:multiLevelType w:val="multilevel"/>
    <w:tmpl w:val="BCF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20DF3"/>
    <w:multiLevelType w:val="multilevel"/>
    <w:tmpl w:val="B96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D314D"/>
    <w:multiLevelType w:val="multilevel"/>
    <w:tmpl w:val="3C3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F30B3"/>
    <w:multiLevelType w:val="hybridMultilevel"/>
    <w:tmpl w:val="F79E2E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1D4B"/>
    <w:multiLevelType w:val="hybridMultilevel"/>
    <w:tmpl w:val="D9BA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218"/>
    <w:multiLevelType w:val="multilevel"/>
    <w:tmpl w:val="558C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2C8D"/>
    <w:multiLevelType w:val="multilevel"/>
    <w:tmpl w:val="B4AA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024BAF"/>
    <w:rsid w:val="001166D0"/>
    <w:rsid w:val="0012569D"/>
    <w:rsid w:val="0015252D"/>
    <w:rsid w:val="002322CE"/>
    <w:rsid w:val="002B41D6"/>
    <w:rsid w:val="002D7186"/>
    <w:rsid w:val="003224CD"/>
    <w:rsid w:val="003327EB"/>
    <w:rsid w:val="00333926"/>
    <w:rsid w:val="00350242"/>
    <w:rsid w:val="003D4088"/>
    <w:rsid w:val="0040501B"/>
    <w:rsid w:val="00432680"/>
    <w:rsid w:val="00484707"/>
    <w:rsid w:val="004C1F4B"/>
    <w:rsid w:val="004C31E1"/>
    <w:rsid w:val="004C76B8"/>
    <w:rsid w:val="00557E33"/>
    <w:rsid w:val="005B457B"/>
    <w:rsid w:val="005E0840"/>
    <w:rsid w:val="005E5089"/>
    <w:rsid w:val="0064539A"/>
    <w:rsid w:val="00661C54"/>
    <w:rsid w:val="006712B2"/>
    <w:rsid w:val="006779C4"/>
    <w:rsid w:val="006C605B"/>
    <w:rsid w:val="006D68A1"/>
    <w:rsid w:val="007248BE"/>
    <w:rsid w:val="007C19A2"/>
    <w:rsid w:val="007D3C80"/>
    <w:rsid w:val="007E11E3"/>
    <w:rsid w:val="008730A4"/>
    <w:rsid w:val="008A0D88"/>
    <w:rsid w:val="008B1B98"/>
    <w:rsid w:val="009E6AE1"/>
    <w:rsid w:val="00A45895"/>
    <w:rsid w:val="00A538F8"/>
    <w:rsid w:val="00A72011"/>
    <w:rsid w:val="00AE1AA2"/>
    <w:rsid w:val="00B143F3"/>
    <w:rsid w:val="00B62071"/>
    <w:rsid w:val="00BC2D4A"/>
    <w:rsid w:val="00C41BA4"/>
    <w:rsid w:val="00CB268D"/>
    <w:rsid w:val="00CB40B0"/>
    <w:rsid w:val="00DD6983"/>
    <w:rsid w:val="00E12843"/>
    <w:rsid w:val="00E624E9"/>
    <w:rsid w:val="00E83491"/>
    <w:rsid w:val="00EF7C03"/>
    <w:rsid w:val="00F632A7"/>
    <w:rsid w:val="00F75D59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502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276">
          <w:marLeft w:val="0"/>
          <w:marRight w:val="0"/>
          <w:marTop w:val="0"/>
          <w:marBottom w:val="150"/>
          <w:divBdr>
            <w:top w:val="single" w:sz="6" w:space="6" w:color="EDEDED"/>
            <w:left w:val="none" w:sz="0" w:space="0" w:color="auto"/>
            <w:bottom w:val="single" w:sz="6" w:space="6" w:color="EDEDED"/>
            <w:right w:val="none" w:sz="0" w:space="0" w:color="auto"/>
          </w:divBdr>
          <w:divsChild>
            <w:div w:id="19752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12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139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829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zelene300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elene3004@g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outu.be/zSwiCmvzg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F02BTpT1h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7A27-170F-4A6E-A45E-22CD6666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23</cp:revision>
  <dcterms:created xsi:type="dcterms:W3CDTF">2020-06-08T12:11:00Z</dcterms:created>
  <dcterms:modified xsi:type="dcterms:W3CDTF">2020-06-30T21:46:00Z</dcterms:modified>
</cp:coreProperties>
</file>